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Планы строительных конструкций и фундаментов с предварительными нагрузками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Ведомость предварительных нагрузок, включая динамические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ОВЭ75-БИ-Л2-НГ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D-15, D-16.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№2 «Участок купороса»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Проработанный вариант размещения участка — существующее здание гидрометаллургического участка: корпус 96 × 108 м, пролёты по буквенным осям 18 + 6 + 24 + 24 + 24 м, шаг колонн 6 м, свайное основание с ростверками и пластовым дренажом (отметки низа −1,65…−2,25), частичные этажерки и перекрытия на отметках +5,000 и +6,000, мостовые краны грузоподъёмностью 5 и 7,5 т с верхом рельсов +10,000 и +10,500. Нагрузки участка передаются на существующие конструкции, поэтому определяющим является не расчёт новых элементов, а поверочный расчёт существующих ростверков, перекрытий и каркаса по результатам обследования. Для варианта нового корпуса те же нагрузки служат исходными данными задания на строительную часть.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4.1); ТЗ на БИ ред. 4.1 (п. 4.5 — состав материалов по строительной части); приложение №7 к ТЗ (обмерные чертежи здания ГМУ);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воздействия; сочетания, коэффициенты надёжности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центрифуги, насосы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Стальные конструкции этажерок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Сейсмика 6 баллов — проверка необходимости мероприятий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Оборудование размещается внутри существующего здания, климатические нагрузки на здание не изменяются. Снеговая и ветровая нагрузки учитываются только для новых наружных элементов — площадок и эстакад трубопроводов к градирне кислой системы оборотного водоснабжения. Сейсмическое воздействие 6 баллов: необходимость специальных мероприятий подтверждается для этажерок высотного оборудования — испарителей II ступеней и стояков барометрических конденсаторов.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3"/>
              </w:rPr>
              <w:t xml:space="preserve">УУСС: испаритель EV-2 с выносным нагревателем; поз. 4.1.1 по ИД; кол-во: 1 (1 нитка)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 отметки ≈0…+1 до +10…+12 (высота корпуса 9–12 м при D 2,0 м)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8–15 при интегральной поставке (ориентировочно)</w:t>
            </w:r>
          </w:p>
          <w:p>
            <w:r>
              <w:rPr>
                <w:sz w:val="14"/>
              </w:rPr>
              <w:t xml:space="preserve">Рабочая: ≈45 содержимого (34,5 м³ × 1,3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постамент; узел — по данным изготовителя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≈550–650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случай гидроиспытания перекрыт рабочим (примечание 1)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3"/>
              </w:rPr>
              <w:t xml:space="preserve">поз. 4.1.2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II ступеней, низ конуса ≈+8…+9 (столб солевой колонны 7,0–7,9 м)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8–15 (унифицирован с аппаратом I ступени, 34,5 м³)</w:t>
            </w:r>
          </w:p>
          <w:p>
            <w:r>
              <w:rPr>
                <w:sz w:val="14"/>
              </w:rPr>
              <w:t xml:space="preserve">Рабочая: ≈45 содержимого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≈550–650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666666"/>
                <w:sz w:val="13"/>
              </w:rPr>
              <w:t xml:space="preserve">поз. 4.1.2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сокового пара II ступени у этажерки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Нагрузка передаётся на опоры трубопроводов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паропровода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666666"/>
                <w:sz w:val="13"/>
              </w:rPr>
              <w:t xml:space="preserve">поз. 4.1.3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Верх +11,0…+11,5; гидрозатвор в приямке −1,5…−2,0; труба 10,5 м, Ду 350–400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водой в корпусе и трубе (≈1,0 м³)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Корпус и стояк на опорах у колонн; гидрозатвор — в кислотостойком приямке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≈60–90 кН на фундамент гидрозатвора; узловые связи стояка ≈5–10 кН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учитывается изменение нагрузки при пуске и срыве вакуума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  <w:p>
            <w:r>
              <w:rPr>
                <w:color w:val="666666"/>
                <w:sz w:val="13"/>
              </w:rPr>
              <w:t xml:space="preserve">поз. 4.1.4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под этажеркой испарителей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2,0 м³ пульпы (ρ 1,3–1,45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либо рама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Бак маточника</w:t>
            </w:r>
          </w:p>
          <w:p>
            <w:r>
              <w:rPr>
                <w:color w:val="666666"/>
                <w:sz w:val="13"/>
              </w:rPr>
              <w:t xml:space="preserve">поз. 4.1.5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1,0 м³ раствора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3"/>
              </w:rPr>
              <w:t xml:space="preserve">Фильтрующая центрифуга с пульсирующей выгрузкой; поз. 4.1.6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 или виброизолированные рамы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загрузкой и промывной жидкостью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расчёт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Фундамент, отстроенный от резонанса, либо виброизолированная рама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1800 об/мин, 30 Гц;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3"/>
              </w:rPr>
              <w:t xml:space="preserve">Два последовательных аппарата; поз. 4.1.7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два последовательных аппарата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8,0 м³ каждый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  <w:p>
            <w:r>
              <w:rPr>
                <w:color w:val="666666"/>
                <w:sz w:val="13"/>
              </w:rPr>
              <w:t xml:space="preserve">поз. 4.1.23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Нитка смешанного купороса; корпус D 1,3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≈11,6 содержимого (8,9 м³ × 1,3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постамент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≈160–200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  <w:p>
            <w:r>
              <w:rPr>
                <w:color w:val="666666"/>
                <w:sz w:val="13"/>
              </w:rPr>
              <w:t xml:space="preserve">поз. 4.1.24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II ступеней, низ конуса ≈+8…+9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≈11,6 содержимого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≈160–200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666666"/>
                <w:sz w:val="13"/>
              </w:rPr>
              <w:t xml:space="preserve">поз. 4.1.24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сокового пара II ступени нитки смешанного купороса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Нагрузка передаётся на опоры трубопроводов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паропровода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666666"/>
                <w:sz w:val="13"/>
              </w:rPr>
              <w:t xml:space="preserve">поз. 4.1.25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Стояк Ду 200–250 с гидрозатвором в приямке −1,5…−2,0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водой в корпусе и трубе</w:t>
            </w:r>
          </w:p>
          <w:p>
            <w:r>
              <w:rPr>
                <w:color w:val="666666"/>
                <w:sz w:val="13"/>
              </w:rPr>
              <w:t xml:space="preserve">Источник: Расчёт БИ;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Корпус на опорах у колонн; гидрозатвор — на фундаменте в приямке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определяется на стадии БИ по данным изготовителя; ниже, чем по конденсатору нитки 1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Бак маточника 2</w:t>
            </w:r>
          </w:p>
          <w:p>
            <w:r>
              <w:rPr>
                <w:color w:val="666666"/>
                <w:sz w:val="13"/>
              </w:rPr>
              <w:t xml:space="preserve">поз. 4.1.26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12,8 м³ раствора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</w:t>
            </w:r>
          </w:p>
          <w:p>
            <w:r>
              <w:rPr>
                <w:color w:val="666666"/>
                <w:sz w:val="13"/>
              </w:rPr>
              <w:t xml:space="preserve">поз. 4.1.27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1,0 м³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3"/>
              </w:rPr>
              <w:t xml:space="preserve">Фильтрующая центрифуга с пульсирующей выгрузкой; поз. 4.1.28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 или виброизолированные рамы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4.5; расчёт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Фундамент, отстроенный от резонанса, либо виброизолированная рама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1800 об/мин, 30 Гц;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3"/>
              </w:rPr>
              <w:t xml:space="preserve">Эжектор + конденсатор ПЭБ + вакуум-насос; поз. поз. 6 рис. 4.4/4.5 по ИД; кол-во: по 1 на нитку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рама у конденсаторного узла нитки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Виброизолированная рама на плите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Водокольцевой вакуум-насос: вращающаяся машина малой мощности;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Насосы циркуляции испарителей, 633 и 251 м³/ч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у аппаратов ниток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Рамные фундаменты с виброизоляцией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Менее 30 кН на фундамент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Вращающиеся машины; нагрузки малые, данные по ТКП;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Фасовка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зона фасовки с проездом электропогрузчика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заполненной тарой</w:t>
            </w:r>
          </w:p>
          <w:p>
            <w:r>
              <w:rPr>
                <w:color w:val="666666"/>
                <w:sz w:val="13"/>
              </w:rPr>
              <w:t xml:space="preserve">Источник: ТЗ п. 4.4;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пола; весовое оборудование — на жёстком основании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дополнительно нагрузка от складирования тары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Полный налив испарителя нитки медного купороса водой при гидроиспытании даёт 34,5 т, что ниже расчётного рабочего заполнения пульпой (34,5 м³ × 1,3 т/м³ ≈ 45 т): испытательный случай перекрыт рабочим расчётом фундаментов и отдельного усиления не требует.</w:t>
      </w:r>
    </w:p>
    <w:p>
      <w:r>
        <w:rPr>
          <w:sz w:val="20"/>
        </w:rPr>
        <w:t xml:space="preserve">2. Высотная посадка барометрических конденсаторов определяется заглублением гидрозатворов: потребная вертикаль от уровня воды в гидрозатворе до верха конденсатора 12,5–13,0 м (труба 10,5 м и корпус 2,0–2,5 м). При гидрозатворе на нулевой отметке схема в существующем здании не размещается, при заглублении на 2,0–2,5 м размещается с запасом не менее 0,9 м.</w:t>
      </w:r>
    </w:p>
    <w:p>
      <w:r>
        <w:rPr>
          <w:sz w:val="20"/>
        </w:rPr>
        <w:t xml:space="preserve">3. Массы аппаратов в исполнении из стали 904L приведены ориентировочно для интегральной поставки и уточняются по опросным листам изготовителей; корпуса, подогреватель 63 м² и конденсаторы поставляются разными комплектами.</w:t>
      </w:r>
    </w:p>
    <w:p>
      <w:r>
        <w:rPr>
          <w:sz w:val="20"/>
        </w:rPr>
        <w:t xml:space="preserve">4. Размещение оборудования на существующих перекрытиях +5,000 и +6,000 и передача нагрузок этажерки на существующие ростверки допускаются только после поверочного расчёта по результатам обследования.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на существующие перекрытия +5,000 и +6,000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Плиты в зоне баков питания и фугата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Локально 15–30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Размещение допускается только после поверочного расчёта существующих плит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от этажерки испарителей II ступеней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Существующие ростверки либо самостоятельные фундаменты этажерки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Сумма нагрузок аппаратов II ступеней и собственного веса этажерки (отметка +8…+9)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Передача на существующие ростверки — только после поверочного расчёта; при дефиците несущей способности выполняются самостоятельные фундаменты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СП 16.13330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Боковое давление грунта и подъёмная сила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Стены и днища приямков гидрозатворов глубиной 2,0–2,5 м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Расчёт стен на боковое давление; пригрузка или анкеровка от всплытия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Уровень грунтовых вод подтверждается изысканиями; на площадке действует пластовый дренаж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СП 45.13330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существующих мостовых кранов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пути, верх рельсов +10,000 и +10,500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5 и 7,5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Крановые нагрузки остаются в существующем объёме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Прил. №7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Монтажные проёмы и зона укрупнительной сборки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Наибольшая неделимая часть 8–15 т (ориентировочно)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Существующие краны такую массу не поднимают: укрупнительная сборка из частей до 5–7,5 т либо мобильный кран через проём; для нового корпуса г/п крана не ниже 15 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БИ; прил. №7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наружные элементы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Площадки и эстакады трубопроводов к градирне кислой системы оборотного водоснабжения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только для новых наружных конструкций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нагрузка от аппарата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≈550–650 кН на испаритель нитки медного купороса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от аппарата нитки смешанного купороса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≈160–200 кН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на фундамент гидрозатвора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≈60–90 кН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Локальная нагрузка на существующие перекрытия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15–30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неделимая монтажная единица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8–15 т (ориентировочно)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Единственные машины с существенной динамикой на участке — пульсирующие фильтрующие центрифуги; насосы и вакуум-насосы дают нагрузки малой амплитуды. Фундаменты центрифуг рассчитываются по СП 26.13330 с отстройкой от резонанса; неуравновешенные силы принимаются по паспорту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Центрифуги пульсирующие фильтрующие</w:t>
            </w:r>
          </w:p>
          <w:p>
            <w:r>
              <w:rPr>
                <w:color w:val="666666"/>
                <w:sz w:val="13"/>
              </w:rPr>
              <w:t xml:space="preserve">4 шт. (по 2 на нитку)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1800 об/мин — 30 Гц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неуравновешенных масс ротора; пульсирующая выгрузка добавляет знакопеременную составляющую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Индивидуальные фундаменты либо виброизолированные рамы, отстроенные от резонанса (предварительно не менее ±25 % от рабочей частоты); неуравновешенные силы и допускаемые амплитуды — по паспорту изготовителя; расчёт по СП 26.13330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4.4/4.5; расчёт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Насосы циркуляции испарителей</w:t>
            </w:r>
          </w:p>
          <w:p>
            <w:r>
              <w:rPr>
                <w:color w:val="666666"/>
                <w:sz w:val="13"/>
              </w:rPr>
              <w:t xml:space="preserve">По схемам ниток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малой амплитуды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Рамные фундаменты с виброизоляцией; нагрузки менее 30 кН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Вакуум-насосы пароэжекторных блоков</w:t>
            </w:r>
          </w:p>
          <w:p>
            <w:r>
              <w:rPr>
                <w:color w:val="666666"/>
                <w:sz w:val="13"/>
              </w:rPr>
              <w:t xml:space="preserve">По одному на нитку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малой амплитуды (водокольцевая машина)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Виброизолированная рама на плите пола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Мешалки репульпаторов и баков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Существующие мостовые краны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5 и 7,5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Крановые нагрузки не увеличиваются; коэффициенты по СП 20.13330</w:t>
            </w:r>
          </w:p>
          <w:p>
            <w:r>
              <w:rPr>
                <w:color w:val="666666"/>
                <w:sz w:val="13"/>
              </w:rPr>
              <w:t xml:space="preserve">Источник: Прил. №7 к ТЗ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2"/>
      </w:pPr>
      <w:r>
        <w:rPr>
          <w:b/>
          <w:sz w:val="24"/>
        </w:rPr>
        <w:t xml:space="preserve">4.1 Общие требования к фундаментам машин с динамическими нагрузками</w:t>
      </w:r>
    </w:p>
    <w:p>
      <w:r>
        <w:rPr>
          <w:sz w:val="20"/>
        </w:rPr>
        <w:t xml:space="preserve">— Фундамент машины отделяется от плиты пола и от каркаса здания сквозным швом; передача вибраций на несущие конструкции и на технологические тракты исключается.</w:t>
      </w:r>
    </w:p>
    <w:p>
      <w:r>
        <w:rPr>
          <w:sz w:val="20"/>
        </w:rPr>
        <w:t xml:space="preserve">— Присоединение трубопроводов и газоходов выполняется через мягкие вставки или линзовые компенсаторы — исключается передача вибрации на тракт и обратное воздействие тракта на опоры машины.</w:t>
      </w:r>
    </w:p>
    <w:p>
      <w:r>
        <w:rPr>
          <w:sz w:val="20"/>
        </w:rPr>
        <w:t xml:space="preserve">— Собственные частоты фундамента отстраиваются от частоты возмущения не менее чем на ±25 % (предварительно); амплитуды колебаний опор — не выше допускаемых по СП 26.13330.</w:t>
      </w:r>
    </w:p>
    <w:p>
      <w:r>
        <w:rPr>
          <w:sz w:val="20"/>
        </w:rPr>
        <w:t xml:space="preserve">— Класс балансировки роторов G6.3 задаётся в опросных листах на машины с вращающимися частями; выверка соосности валов при монтаже — лазерной центровкой, подливка — безусадочными составами.</w:t>
      </w:r>
    </w:p>
    <w:p>
      <w:r>
        <w:rPr>
          <w:sz w:val="20"/>
        </w:rPr>
        <w:t xml:space="preserve">— Предусматриваются штатные точки вибромониторинга машин с интеграцией в АСУТП; уровни вибрации на рабочих местах — по ГОСТ 12.1.012-2004.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Приямки гидрозатворов</w:t>
      </w:r>
    </w:p>
    <w:p>
      <w:r>
        <w:rPr>
          <w:sz w:val="20"/>
        </w:rPr>
        <w:t xml:space="preserve">Приямки глубиной 2,0–2,5 м под гидрозатворы барометрических конденсаторов выполняются в кислотостойком исполнении (кислая система оборотного водоснабжения — до 0,5 г/л серной кислоты), с расчётом стен на боковое давление и пригрузкой или анкеровкой от всплытия по уровню грунтовых вод. В здании на свайных ростверках приямки выполняются между ростверками — решение подтверждается обследованием и расчётом.</w:t>
      </w:r>
    </w:p>
    <w:p>
      <w:r>
        <w:rPr>
          <w:b/>
          <w:sz w:val="21"/>
        </w:rPr>
        <w:t xml:space="preserve">Этажерки и перекрытия</w:t>
      </w:r>
    </w:p>
    <w:p>
      <w:r>
        <w:rPr>
          <w:sz w:val="20"/>
        </w:rPr>
        <w:t xml:space="preserve">Этажерка испарителей II ступеней на отметке +8…+9 — стальная по СП 16.13330; передача нагрузок на существующие ростверки допускается только после поверочного расчёта, при дефиците несущей способности выполняются самостоятельные фундаменты этажерки. Размещение баков питания и фугата на перекрытиях +5,000 и +6,000 — только после поверочного расчёта существующих плит.</w:t>
      </w:r>
    </w:p>
    <w:p>
      <w:r>
        <w:rPr>
          <w:b/>
          <w:sz w:val="21"/>
        </w:rPr>
        <w:t xml:space="preserve">Высота помещения</w:t>
      </w:r>
    </w:p>
    <w:p>
      <w:r>
        <w:rPr>
          <w:sz w:val="20"/>
        </w:rPr>
        <w:t xml:space="preserve">Полнобарометрическая схема при гидрозатворе на нулевой отметке в существующем здании не размещается: потребная вертикаль 12,5–13,0 м при низе ферм около +12,4…+12,9. Для нового корпуса высота до низа ферм назначается не менее 13,5 м — схема размещается без приямков.</w:t>
      </w:r>
    </w:p>
    <w:p>
      <w:r>
        <w:rPr>
          <w:b/>
          <w:sz w:val="21"/>
        </w:rPr>
        <w:t xml:space="preserve">Виброфундаменты и полы</w:t>
      </w:r>
    </w:p>
    <w:p>
      <w:r>
        <w:rPr>
          <w:sz w:val="20"/>
        </w:rPr>
        <w:t xml:space="preserve">Индивидуальные фундаменты или виброизолированные рамы центрифуг выполняются до подачи крупногабаритного оборудования в пролёт. Полы участка — химстойкие, с уклонами и трапами; под аппаратами и баками предусматриваются поддоны.</w:t>
      </w:r>
    </w:p>
    <w:p>
      <w:r>
        <w:rPr>
          <w:b/>
          <w:sz w:val="21"/>
        </w:rPr>
        <w:t xml:space="preserve">Монтажные условия</w:t>
      </w:r>
    </w:p>
    <w:p>
      <w:r>
        <w:rPr>
          <w:sz w:val="20"/>
        </w:rPr>
        <w:t xml:space="preserve">Для наибольшей неделимой части 8–15 т предусматривается монтажный проём либо монтаж до закрытия кровли зоны; для нового корпуса грузоподъёмность кранового оборудования назначается не ниже 15 т.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опросным листам изготовителей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Отметки низа несущих ферм существующего здания и возможность устройства приямков между ростверками — по обмерному обследованию первого этапа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выносного подогревателя 63 м², барометрических конденсаторов и вакуум-насосов — по опросным листам изготовителей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ОВЭ75-БИ-Л2-НГ · Планы строительных конструкций и фундаментов с предварительными нагрузками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ОВЭ75-БИ-Л2-НГ · Планы строительных конструкций и фундаментов с предварительными нагрузками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