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4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21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14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182"/>
        <w:jc w:val="center"/>
      </w:pPr>
      <w:r>
        <w:rPr>
          <w:rFonts w:ascii="Arial" w:hAnsi="Arial" w:cs="Arial"/>
          <w:sz w:val="22"/>
          <w:szCs w:val="22"/>
        </w:rPr>
        <w:t xml:space="preserve">Лот №2 «Участок купороса»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Спецификация оборудования с техническими характеристиками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14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ОВЭ75-БИ-Л2-СО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105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4953"/>
        <w:gridCol w:w="5099"/>
        <w:gridCol w:w="4518"/>
      </w:tblGrid>
      <w:tr>
        <w:tc>
          <w:tcPr>
            <w:tcW w:w="4953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5099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451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4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00"/>
        <w:gridCol w:w="2000"/>
        <w:gridCol w:w="6970"/>
        <w:gridCol w:w="2100"/>
        <w:gridCol w:w="2100"/>
      </w:tblGrid>
      <w:tr>
        <w:tc>
          <w:tcPr>
            <w:tcW w:w="14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2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697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D-18.</w:t>
      </w:r>
    </w:p>
    <w:p>
      <w:pPr>
        <w:spacing w:before="200" w:after="80"/>
      </w:pPr>
      <w:r>
        <w:rPr>
          <w:rFonts w:ascii="Arial" w:hAnsi="Arial" w:cs="Arial"/>
          <w:b/>
          <w:sz w:val="20"/>
          <w:szCs w:val="20"/>
        </w:rPr>
        <w:t xml:space="preserve">Состав документа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1. Общие положения: назначение, границы лота, статусы поставки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2. Спецификация оборудования лота по участкам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3. Сводные показатели по лоту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4. Пояснения к составу оборудования и источники данных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5. Оборудование вне БИ и на границах лота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6. Открытые позиции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и состав документа</w:t>
      </w:r>
    </w:p>
    <w:p>
      <w:r>
        <w:rPr>
          <w:sz w:val="20"/>
        </w:rPr>
        <w:t xml:space="preserve">Спецификация содержит перечень основного и вспомогательного технологического оборудования Лота №2 «Участок купороса» в границах проектирования Базового инжиниринга с указанием назначения, определяющих технических характеристик, количества, материального исполнения, габаритов, массы, мощности электроприёмников и статуса поставки каждой позиции. Документ выполняет требование состава Базового инжиниринга «Спецификация основного и вспомогательного технологического оборудования с указанием технических характеристик, в том числе габаритных размеров, массы, энергопотребления» (ТЗ на БИ ред. 4.1; пункт состава D-18).</w:t>
      </w:r>
    </w:p>
    <w:p>
      <w:r>
        <w:rPr>
          <w:sz w:val="20"/>
        </w:rPr>
        <w:t xml:space="preserve">Позиции сгруппированы по участкам в порядке технологического процесса; номер позиции — порядковый в пределах лота. Для позиций, имеющих номер по технологической схеме исходных данных, этот номер приведён в графе наименования (поз. по ИД). Форма спецификации — по ГОСТ 21.110-2013 с дополнительными графами по ТЗ (габариты, масса, энергопотребление).</w:t>
      </w:r>
    </w:p>
    <w:p>
      <w:r>
        <w:rPr>
          <w:sz w:val="20"/>
        </w:rPr>
        <w:t xml:space="preserve">Значения граф взяты из исходных данных Заказчика (ИД ч.1, ИД ч.2), Технического задания (ред. 4.1 от 25.08.2026) и расчётной модели КВАНТ. Значения, добавленные из текстовых разделов исходных данных и пояснительной записки, приведены в графах с указанием источника; общее основание перечня — ниже, ключевые позиции и их источники — в разделе 4. Запись «по ТКП» в графах габаритов, массы и мощности означает, что характеристика в исходных данных не задана и уточняется по технико-коммерческому предложению изготовителя; знак «—» — характеристика в исходных данных не задана либо к позиции не применима.</w:t>
      </w:r>
    </w:p>
    <w:p>
      <w:r>
        <w:rPr>
          <w:color w:val="666666"/>
          <w:sz w:val="17"/>
        </w:rPr>
        <w:t xml:space="preserve">Источник: ИД ч.2 (табл. 4.1, рис. 4.4 и 4.5); ТЗ на БИ ред. 4.1 — границы проектирования Лота №2 (п. 4.3) и состав оборудования (п. 4.4)</w:t>
      </w:r>
    </w:p>
    <w:p>
      <w:pPr>
        <w:pStyle w:val="Heading2"/>
      </w:pPr>
      <w:r>
        <w:rPr>
          <w:b/>
          <w:sz w:val="24"/>
        </w:rPr>
        <w:t xml:space="preserve">1.2 Границы лота и охват спецификации</w:t>
      </w:r>
    </w:p>
    <w:p>
      <w:r>
        <w:rPr>
          <w:sz w:val="20"/>
        </w:rPr>
        <w:t xml:space="preserve">Основное и вспомогательное технологическое оборудование и трубопроводы в границах проектирования. Две независимые нитки вакуумной кристаллизации: медный купорос (оборотный) и смешанный медно-никелевый купорос (товарный).</w:t>
      </w:r>
    </w:p>
    <w:p>
      <w:r>
        <w:rPr>
          <w:sz w:val="20"/>
        </w:rPr>
        <w:t xml:space="preserve">Участки лота по ТЗ: вакуумная кристаллизация медного купороса (2 ступени); растворение медного купороса; вакуумная кристаллизация смешанного медно-никелевого купороса (2 ступени); фасовка, пробоотбор и коммерческий учёт медно-никелевого купороса.</w:t>
      </w:r>
    </w:p>
    <w:p>
      <w:r>
        <w:rPr>
          <w:sz w:val="20"/>
        </w:rPr>
        <w:t xml:space="preserve">Режим работы: 345 дней/год, 8322 ч, круглосуточно.</w:t>
      </w:r>
    </w:p>
    <w:p>
      <w:r>
        <w:rPr>
          <w:sz w:val="20"/>
        </w:rPr>
        <w:t xml:space="preserve">Границы проектирования (фланцевые и иные точки передачи потоков) приведены в пояснительной записке и на принципиальной технологической схеме лота; спецификация охватывает оборудование внутри этих границ. Оборудование смежных участков, не входящее в объём Базового инжиниринга, в основную таблицу не включено и приведено справочно в разделе 5 — для увязки границ и выдачи заданий на стыке.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ОВЭ75-БИ-Л2-ПЗ — Пояснительная записка</w:t>
      </w:r>
    </w:p>
    <w:p>
      <w:r>
        <w:rPr>
          <w:sz w:val="20"/>
        </w:rPr>
        <w:t xml:space="preserve">— ОВЭ75-БИ-Л2-PFD — Принципиальная технологическая схема (PFD)</w:t>
      </w:r>
    </w:p>
    <w:p>
      <w:r>
        <w:rPr>
          <w:sz w:val="20"/>
        </w:rPr>
        <w:t xml:space="preserve">— ОВЭ75-БИ-Л2-ОЛ — Опросные листы основного оборудования (альбом)</w:t>
      </w:r>
    </w:p>
    <w:p>
      <w:r>
        <w:rPr>
          <w:sz w:val="20"/>
        </w:rPr>
        <w:t xml:space="preserve">— ОВЭ75-БИ-Л2-ДЦ — Исходные требования на длинноцикловое оборудование</w:t>
      </w:r>
    </w:p>
    <w:p>
      <w:r>
        <w:rPr>
          <w:sz w:val="20"/>
        </w:rPr>
        <w:t xml:space="preserve">— ОВЭ75-БИ-Л2-МТ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ОВЭ75-БИ-Л2-ЭС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ОВЭ75-БИ-Л2-LL — Перечень трубопроводов, арматуры и приборов КИПиА (line list)</w:t>
      </w:r>
    </w:p>
    <w:p>
      <w:r>
        <w:rPr>
          <w:sz w:val="20"/>
        </w:rPr>
        <w:t xml:space="preserve">— ОВЭ75-БИ-Л2-СТ — Стоимостной блок: порядок сбора ТКП и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1.3 Статусы поставки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116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Статус</w:t>
            </w:r>
          </w:p>
        </w:tc>
        <w:tc>
          <w:tcPr>
            <w:tcW w:w="11680" w:type="dxa"/>
            <w:shd w:val="clear" w:fill="EFEFEF"/>
          </w:tcPr>
          <w:p>
            <w:r>
              <w:rPr>
                <w:b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Закуп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Серийное оборудование; поставляется комплектно изготовителем по результатам запроса технико-коммерческих предложений (не менее 2–3 ТКП на позицию — требование ТЗ).</w:t>
            </w:r>
          </w:p>
        </w:tc>
      </w:tr>
    </w:tbl>
    <w:p>
      <w:r>
        <w:rPr>
          <w:sz w:val="20"/>
        </w:rPr>
        <w:t xml:space="preserve">Позиций, изготавливаемых по документации Исполнителя, в перечне нет. Комплектно по ТКП изготовителей поставляются 17 позиций из 17.</w:t>
      </w:r>
    </w:p>
    <w:p>
      <w:pPr>
        <w:pStyle w:val="Heading1"/>
      </w:pPr>
      <w:r>
        <w:rPr>
          <w:b/>
          <w:sz w:val="28"/>
        </w:rPr>
        <w:t xml:space="preserve">2. Спецификация оборудования Лота №2</w:t>
      </w:r>
    </w:p>
    <w:p>
      <w:r>
        <w:rPr>
          <w:i/>
          <w:color w:val="555555"/>
          <w:sz w:val="18"/>
        </w:rPr>
        <w:t xml:space="preserve">Полужирным выделены ключевые позиции лота — основное оборудование, по которому выпускаются опросные листы и запрашиваются ТКП; перечень основного оборудования закрепляется протоколом с Заказчиком.</w:t>
      </w:r>
    </w:p>
    <w:p>
      <w:pPr>
        <w:pStyle w:val="Heading2"/>
      </w:pPr>
      <w:r>
        <w:rPr>
          <w:b/>
          <w:sz w:val="24"/>
        </w:rPr>
        <w:t xml:space="preserve">2.1 Кристаллизация медного купороса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Испаритель I ступени (выпарной аппарат)</w:t>
            </w:r>
          </w:p>
          <w:p>
            <w:r>
              <w:rPr>
                <w:color w:val="333333"/>
                <w:sz w:val="15"/>
              </w:rPr>
              <w:t xml:space="preserve">УУСС: испаритель EV-2 с выносным нагревателем</w:t>
            </w:r>
          </w:p>
          <w:p>
            <w:r>
              <w:rPr>
                <w:color w:val="555555"/>
                <w:sz w:val="14"/>
              </w:rPr>
              <w:t xml:space="preserve">Поз. по ИД: 4.1.1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Вакуумная кристаллизация оборотного медного купороса, I ступень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Напряжённость 22 800 м³/(м²·ч) по соковому пару; поток 49 417 м³/ч; расчётный D 2,17 м</w:t>
            </w:r>
          </w:p>
          <w:p>
            <w:r>
              <w:rPr>
                <w:i/>
                <w:color w:val="555555"/>
                <w:sz w:val="14"/>
              </w:rPr>
              <w:t xml:space="preserve">Обогрев глухим паром, t = 40 °С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 (1 нитка)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D = 2,0 м; факт. 3,1 м²; коэфф. запаса 1,4</w:t>
            </w:r>
          </w:p>
          <w:p>
            <w:r>
              <w:rPr>
                <w:color w:val="333333"/>
                <w:sz w:val="15"/>
              </w:rPr>
              <w:t xml:space="preserve">Объём аппарата 34,5 м³; выносной подогреватель 63 м²; седиментационный цилиндр 0,3 м²; масса при интегральной поставке ориентировочно 8–15 т (уточняется по данным изготовителя)</w:t>
            </w:r>
          </w:p>
          <w:p>
            <w:r>
              <w:rPr>
                <w:color w:val="666666"/>
                <w:sz w:val="13"/>
              </w:rPr>
              <w:t xml:space="preserve">Источник: ИД ч.2 рис. 4.4; оценка Исполнителя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22 кВт (циркуляционный насос 633 м³/ч)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Испаритель II ступени (выпарной аппарат)</w:t>
            </w:r>
          </w:p>
          <w:p>
            <w:r>
              <w:rPr>
                <w:color w:val="333333"/>
                <w:sz w:val="15"/>
              </w:rPr>
              <w:t xml:space="preserve">УУСС: испаритель EV-2 с принудительной циркуляцией, под доп. разрежением</w:t>
            </w:r>
          </w:p>
          <w:p>
            <w:r>
              <w:rPr>
                <w:color w:val="555555"/>
                <w:sz w:val="14"/>
              </w:rPr>
              <w:t xml:space="preserve">Поз. по ИД: 4.1.2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Вакуумная кристаллизация медного купороса, II ступень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Напряжённость 22 000 м³/(м²·ч); поток 23 032 м³/ч; расчётный D 1,05 м</w:t>
            </w:r>
          </w:p>
          <w:p>
            <w:r>
              <w:rPr>
                <w:i/>
                <w:color w:val="555555"/>
                <w:sz w:val="14"/>
              </w:rPr>
              <w:t xml:space="preserve">t = 20 °С; работа за счёт более глубокого разрежения от парового эжектора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D = 2,0 м; факт. 3,1 м²; коэфф. запаса 3,0</w:t>
            </w:r>
          </w:p>
          <w:p>
            <w:r>
              <w:rPr>
                <w:color w:val="333333"/>
                <w:sz w:val="15"/>
              </w:rPr>
              <w:t xml:space="preserve">Унифицирован с аппаратом I ступени (объём 34,5 м³), без подогревателя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Паровой эжектор</w:t>
            </w:r>
          </w:p>
          <w:p>
            <w:r>
              <w:rPr>
                <w:color w:val="555555"/>
                <w:sz w:val="14"/>
              </w:rPr>
              <w:t xml:space="preserve">Поз. по ИД: 4.1.2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Создание глубокого разрежения на II ступени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288 кг/ч по соковому пару; Q расч. 375 кг/ч; P = 0,013 атм (10 мм рт. ст.)</w:t>
            </w:r>
          </w:p>
          <w:p>
            <w:r>
              <w:rPr>
                <w:color w:val="333333"/>
                <w:sz w:val="15"/>
              </w:rPr>
              <w:t xml:space="preserve">Рабочий пар 0,75 т/ч, 6 атм; всасывание 0,013–0,02 атм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коэфф. запаса 1,3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  <w:p>
            <w:r>
              <w:rPr>
                <w:color w:val="555555"/>
                <w:sz w:val="14"/>
              </w:rPr>
              <w:t xml:space="preserve">Поз. по ИД: 4.1.3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Конденсация сокового пара испарителей и пара эжектора, орошение холодной оборотной водой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Поток 3,24 т/ч; Q расч. 4,5 т/ч; P = 0,075 атм (55 мм рт. ст.)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коэфф. запаса 1,4</w:t>
            </w:r>
          </w:p>
          <w:p>
            <w:r>
              <w:rPr>
                <w:color w:val="333333"/>
                <w:sz w:val="15"/>
              </w:rPr>
              <w:t xml:space="preserve">D 2,0 м; расход охлаждающей воды 380 м³/ч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Репульпатор (реактор с мешалкой)</w:t>
            </w:r>
          </w:p>
          <w:p>
            <w:r>
              <w:rPr>
                <w:color w:val="555555"/>
                <w:sz w:val="14"/>
              </w:rPr>
              <w:t xml:space="preserve">Поз. по ИД: 4.1.4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Хранение пульпы медного купороса перед центрифугой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Запас объёма 0,5 ч; поток 2,5 м³/ч; расч. 1,27 м³</w:t>
            </w:r>
          </w:p>
          <w:p>
            <w:r>
              <w:rPr>
                <w:color w:val="333333"/>
                <w:sz w:val="15"/>
              </w:rPr>
              <w:t xml:space="preserve">Насос откачки пульпы 21 м³/ч</w:t>
            </w:r>
          </w:p>
          <w:p>
            <w:r>
              <w:rPr>
                <w:color w:val="666666"/>
                <w:sz w:val="13"/>
              </w:rPr>
              <w:t xml:space="preserve">Источник: ИД ч.2 рис. 4.4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V = 2,5 м³; факт. 2,0 м³; коэфф. запаса 1,6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Бак маточника</w:t>
            </w:r>
          </w:p>
          <w:p>
            <w:r>
              <w:rPr>
                <w:color w:val="555555"/>
                <w:sz w:val="14"/>
              </w:rPr>
              <w:t xml:space="preserve">Поз. по ИД: 4.1.5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Хранение маточника; обогревается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Запас объёма 0,5 ч; поток 1,39 м³/ч; расч. 0,69 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V = 1,2 м³; факт. 1,0 м³; коэфф. запаса 1,4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Пульсирующая (фильтрующая) центрифуга</w:t>
            </w:r>
          </w:p>
          <w:p>
            <w:r>
              <w:rPr>
                <w:color w:val="333333"/>
                <w:sz w:val="15"/>
              </w:rPr>
              <w:t xml:space="preserve">Фильтрующая центрифуга с пульсирующей выгрузкой</w:t>
            </w:r>
          </w:p>
          <w:p>
            <w:r>
              <w:rPr>
                <w:color w:val="555555"/>
                <w:sz w:val="14"/>
              </w:rPr>
              <w:t xml:space="preserve">Поз. по ИД: 4.1.6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Обезвоживание кристаллов медного купороса, I стадия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Поток 1,70 т/ч; Q расч. 2,5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коэфф. запаса 1,5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15 кВт; 1800 об/мин</w:t>
            </w:r>
          </w:p>
          <w:p>
            <w:r>
              <w:rPr>
                <w:color w:val="666666"/>
                <w:sz w:val="13"/>
              </w:rPr>
              <w:t xml:space="preserve">Источник: ИД ч.2 табл. 4.1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Растворение купороса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8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Репульпатор растворения купороса</w:t>
            </w:r>
          </w:p>
          <w:p>
            <w:r>
              <w:rPr>
                <w:color w:val="333333"/>
                <w:sz w:val="15"/>
              </w:rPr>
              <w:t xml:space="preserve">Два последовательных аппарата</w:t>
            </w:r>
          </w:p>
          <w:p>
            <w:r>
              <w:rPr>
                <w:color w:val="555555"/>
                <w:sz w:val="14"/>
              </w:rPr>
              <w:t xml:space="preserve">Поз. по ИД: 4.1.7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Растворение медного купороса в растворе от электроэкстракции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Время контакта 1,0 ч; поток 5,93 м³/ч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316L / полимер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V = 5,0 м³; факт. 8,0 м³; коэфф. запаса 1,3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Кристаллизация смешанного купороса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9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Испаритель I ступени</w:t>
            </w:r>
          </w:p>
          <w:p>
            <w:r>
              <w:rPr>
                <w:color w:val="555555"/>
                <w:sz w:val="14"/>
              </w:rPr>
              <w:t xml:space="preserve">Поз. по ИД: 4.1.23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Вакуумная кристаллизация смешанного медно-никелевого купороса, I ступень, t = 40 °С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Напряжённость 22 000 м³/(м²·ч); поток 17 647 м³/ч; расч. D 0,80 м</w:t>
            </w:r>
          </w:p>
          <w:p>
            <w:r>
              <w:rPr>
                <w:i/>
                <w:color w:val="555555"/>
                <w:sz w:val="14"/>
              </w:rPr>
              <w:t xml:space="preserve">Диаметр испарителей увеличен по результатам уточняющих расчётов, предоставляемых в ТР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D = 1,3 м; коэфф. запаса 1,7</w:t>
            </w:r>
          </w:p>
          <w:p>
            <w:r>
              <w:rPr>
                <w:color w:val="333333"/>
                <w:sz w:val="15"/>
              </w:rPr>
              <w:t xml:space="preserve">Объём аппарата 8,9 м³; подогреватель 25 м²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11 кВт (циркуляционный насос 251 м³/ч)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10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Испаритель II ступени</w:t>
            </w:r>
          </w:p>
          <w:p>
            <w:r>
              <w:rPr>
                <w:color w:val="555555"/>
                <w:sz w:val="14"/>
              </w:rPr>
              <w:t xml:space="preserve">Поз. по ИД: 4.1.24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Вакуумная кристаллизация смешанного купороса, II ступень, t = 20 °С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Напряжённость 22 000 м³/(м²·ч); поток 5530 м³/ч; расч. D 0,25 м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D = 1,3 м; коэфф. запаса 5,3</w:t>
            </w:r>
          </w:p>
          <w:p>
            <w:r>
              <w:rPr>
                <w:color w:val="333333"/>
                <w:sz w:val="15"/>
              </w:rPr>
              <w:t xml:space="preserve">Унифицирован с аппаратом I ступени нитки (объём 8,9 м³)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11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Паровой эжектор</w:t>
            </w:r>
          </w:p>
          <w:p>
            <w:r>
              <w:rPr>
                <w:color w:val="555555"/>
                <w:sz w:val="14"/>
              </w:rPr>
              <w:t xml:space="preserve">Поз. по ИД: 4.1.24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Создание разрежения на II ступени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69 кг/ч по соковому пару; Q расч. 90 кг/ч; P = 0,013 атм</w:t>
            </w:r>
          </w:p>
          <w:p>
            <w:r>
              <w:rPr>
                <w:color w:val="333333"/>
                <w:sz w:val="15"/>
              </w:rPr>
              <w:t xml:space="preserve">Рабочий пар 0,18 т/ч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коэфф. запаса 1,3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Барометрический конденсатор</w:t>
            </w:r>
          </w:p>
          <w:p>
            <w:r>
              <w:rPr>
                <w:color w:val="555555"/>
                <w:sz w:val="14"/>
              </w:rPr>
              <w:t xml:space="preserve">Поз. по ИД: 4.1.25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Конденсация сокового пара, орошение холодной оборотной водой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Поток 9,1 т/ч; Q расч. 12,0 т/ч; P = 0,075 атм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коэфф. запаса 1,3</w:t>
            </w:r>
          </w:p>
          <w:p>
            <w:r>
              <w:rPr>
                <w:color w:val="333333"/>
                <w:sz w:val="15"/>
              </w:rPr>
              <w:t xml:space="preserve">D 1,0 м; расход охлаждающей воды 138 м³/ч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13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Бак маточника 2</w:t>
            </w:r>
          </w:p>
          <w:p>
            <w:r>
              <w:rPr>
                <w:color w:val="555555"/>
                <w:sz w:val="14"/>
              </w:rPr>
              <w:t xml:space="preserve">Поз. по ИД: 4.1.26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Хранение маточника; обогрев острым паром. Маточник направляется в ЦЭН — при транспортировке обеспечить t ≥ 30–40 °С либо разбавить водой на 15–20 %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Запас объёма 12,0 ч; поток 0,80 м³/ч; расч. 9,64 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V = 16,0 м³; факт. 12,8 м³; коэфф. запаса 1,3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14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Репульпатор</w:t>
            </w:r>
          </w:p>
          <w:p>
            <w:r>
              <w:rPr>
                <w:color w:val="555555"/>
                <w:sz w:val="14"/>
              </w:rPr>
              <w:t xml:space="preserve">Поз. по ИД: 4.1.27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Хранение пульпы смешанного купороса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Запас объёма 0,5 ч; поток 1,2 м³/ч; расч. 0,60 м³</w:t>
            </w:r>
          </w:p>
          <w:p>
            <w:r>
              <w:rPr>
                <w:color w:val="333333"/>
                <w:sz w:val="15"/>
              </w:rPr>
              <w:t xml:space="preserve">Насос откачки пульпы 10 м³/ч</w:t>
            </w:r>
          </w:p>
          <w:p>
            <w:r>
              <w:rPr>
                <w:color w:val="666666"/>
                <w:sz w:val="13"/>
              </w:rPr>
              <w:t xml:space="preserve">Источник: ИД ч.2 рис. 4.5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V = 1,2 м³; факт. 1,0 м³; коэфф. запаса 1,6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15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Пульсирующая (фильтрующая) центрифуга</w:t>
            </w:r>
          </w:p>
          <w:p>
            <w:r>
              <w:rPr>
                <w:color w:val="333333"/>
                <w:sz w:val="15"/>
              </w:rPr>
              <w:t xml:space="preserve">Фильтрующая центрифуга с пульсирующей выгрузкой</w:t>
            </w:r>
          </w:p>
          <w:p>
            <w:r>
              <w:rPr>
                <w:color w:val="555555"/>
                <w:sz w:val="14"/>
              </w:rPr>
              <w:t xml:space="preserve">Поз. по ИД: 4.1.28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Обезвоживание и промывка кристаллов смешанного купороса, II стадия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Поток 0,80 т/ч; Q расч. 1,5 т/ч</w:t>
            </w:r>
          </w:p>
          <w:p>
            <w:r>
              <w:rPr>
                <w:i/>
                <w:color w:val="555555"/>
                <w:sz w:val="14"/>
              </w:rPr>
              <w:t xml:space="preserve">Промывка первичным раствором из бака поз. 4.1.22; фугат — на II ступень выпарки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904L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коэфф. запаса 1,9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2.4 Кристаллизация — общее оборудование ниток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16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Пароэжекторный блок (ПЭБ)</w:t>
            </w:r>
          </w:p>
          <w:p>
            <w:r>
              <w:rPr>
                <w:color w:val="333333"/>
                <w:sz w:val="15"/>
              </w:rPr>
              <w:t xml:space="preserve">Эжектор + конденсатор ПЭБ + вакуум-насос</w:t>
            </w:r>
          </w:p>
          <w:p>
            <w:r>
              <w:rPr>
                <w:color w:val="555555"/>
                <w:sz w:val="14"/>
              </w:rPr>
              <w:t xml:space="preserve">Поз. по ИД: поз. 6 рис. 4.4/4.5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Обеспечение вакуума в конденсаторе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Нитка 1: эжектор 0,27 т/ч, конденсатор D 0,5 м (32 м³/ч), вакуум-насос ВВН1-6; нитка 2: эжектор 0,16 т/ч, конденсатор D 0,5 м (18 м³/ч), вакуум-насос ВВН1-3</w:t>
            </w:r>
          </w:p>
          <w:p>
            <w:r>
              <w:rPr>
                <w:color w:val="666666"/>
                <w:sz w:val="13"/>
              </w:rPr>
              <w:t xml:space="preserve">Источник: ИД ч.2 рис. 4.4, 4.5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1 на нитку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2.5 Фасовка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17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Оборудование фасовки, пробоотбора и коммерческого учёта медно-никелевого купороса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Фасовка в биг-беги с ПЭ-вкладышем, пробоотбор, весовой учёт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Остаточная влажность купороса 4–6 %</w:t>
            </w:r>
          </w:p>
          <w:p>
            <w:r>
              <w:rPr>
                <w:color w:val="333333"/>
                <w:sz w:val="15"/>
              </w:rPr>
              <w:t xml:space="preserve">Ленточный транспортёр купороса; весовой дозатор коммерческого учёта; пробоотбор; фасовка в биг-беги с ПЭ-вкладышем</w:t>
            </w:r>
          </w:p>
          <w:p>
            <w:r>
              <w:rPr>
                <w:color w:val="666666"/>
                <w:sz w:val="13"/>
              </w:rPr>
              <w:t xml:space="preserve">Источник: ИД ч.2 рис. 4.5; ТЗ п. 4.4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Сводные показатели по лоту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Позиций в спецификации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17 (участков — 5)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Ключевые позиции (основное оборудование)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3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Распределение по статусам поставки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Закуп — 17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Количество задано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17 из 17 позиций; по остальным — уточняется на стадии ОТР и по ТКП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Габариты или масса заданы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15 из 17 позиций; по остальным — по ТКП изготовителей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Мощность электроприёмников задана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3 из 17 позиций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Установленная мощность по позициям с единичным значением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≈63 кВт: Испаритель I ступени (выпарной аппарат) — 1 × 22 кВт; Пульсирующая (фильтрующая) центрифуга — 2 × 15 кВт; Испаритель I ступени — 1 × 11 кВт</w:t>
            </w:r>
          </w:p>
        </w:tc>
      </w:tr>
    </w:tbl>
    <w:p>
      <w:r>
        <w:rPr>
          <w:i/>
          <w:color w:val="555555"/>
          <w:sz w:val="18"/>
        </w:rPr>
        <w:t xml:space="preserve">Суммирование выполнено только по позициям, для которых задано одно значение мощности и целое количество единиц; позиции с диапазоном мощности и без данных в сумму не входят. Полная таблица электроприёмников лота сводится в документе по электроснабжению после получения ТКП.</w:t>
      </w:r>
    </w:p>
    <w:p>
      <w:pPr>
        <w:pStyle w:val="Heading1"/>
      </w:pPr>
      <w:r>
        <w:rPr>
          <w:b/>
          <w:sz w:val="28"/>
        </w:rPr>
        <w:t xml:space="preserve">4. Пояснения к составу оборудования и источники данных</w:t>
      </w:r>
    </w:p>
    <w:p>
      <w:r>
        <w:rPr>
          <w:sz w:val="20"/>
        </w:rPr>
        <w:t xml:space="preserve">Основание — раздел пояснительной записки «Перечень основного и вспомогательного оборудования; опросные листы; монтаж».</w:t>
      </w:r>
    </w:p>
    <w:p>
      <w:r>
        <w:rPr>
          <w:sz w:val="20"/>
        </w:rPr>
        <w:t xml:space="preserve">Состав по ТЗ п. 4.4 и спецификациям ИД (рис. 4.4/4.5, табл. 4.1); материал основного оборудования — 904L или аналог; запас производительности 30 %.</w:t>
      </w:r>
    </w:p>
    <w:p>
      <w:r>
        <w:rPr>
          <w:sz w:val="20"/>
        </w:rPr>
        <w:t xml:space="preserve">НИТКА 1 (медный купорос): выпарной аппарат I ступени (D 2,0 м, V 34,5 м³, подогреватель 63 м², циркнасос 633 м³/ч/22 кВт, седиментационный цилиндр 0,3 м², труба контура 1,01 м³); выпарной аппарат II ступени (унифицирован, без подогревателя); паровой эжектор (0,75 т/ч, 6 атм, всас 0,013–0,02 атм, 0,375 т/ч по соковому); барометрический конденсатор D 2,0 м (380 м³/ч); ПЭБ (эжектор 0,27 т/ч + конденсатор D 0,5 м, 32 м³/ч + ВВН1-6); репульпатор 2,5 м³ с насосом 21 м³/ч; пульсирующие центрифуги 2 шт. × 2,5 т/ч (1800 об/мин, 15 кВт); бак фугата 1 м³ с 2 погружными насосами 1,5 м³/ч.</w:t>
      </w:r>
    </w:p>
    <w:p>
      <w:r>
        <w:rPr>
          <w:sz w:val="20"/>
        </w:rPr>
        <w:t xml:space="preserve">НИТКА 2 (смешанный купорос): выпарной аппарат I ступени (D 1,3 м, V 8,9 м³, подогреватель 25 м², циркнасос 251 м³/ч/11 кВт); выпарной аппарат II ступени (унифицирован); эжектор 0,18 т/ч (0,090 т/ч по соковому); барометрический конденсатор D 1,0 м (138 м³/ч); ПЭБ (эжектор 0,16 т/ч + конденсатор D 0,5 м, 18 м³/ч + ВВН1-3); репульпатор 1,2 м³ с насосом 10 м³/ч; центрифуги 2 шт. × 1,5 т/ч; баки фугата и промвод по 1,0 м³ с погружными насосами; ленточный транспортёр купороса; узел фасовки в биг-беги с ПЭ-вкладышем (весовой дозатор коммерческого учёта, пробоотбор).</w:t>
      </w:r>
    </w:p>
    <w:p>
      <w:r>
        <w:rPr>
          <w:sz w:val="20"/>
        </w:rPr>
        <w:t xml:space="preserve">ОБЩЕЕ: баки питания/маточников с мешалками и погружными насосами (в т.ч. обогреваемые поз. 4.1.5, 4.1.26, бак 4.1.22), репульпатор растворения купороса 5–8 м³ с обогревом острым паром; трубопроводы, арматура (904L/полимеры), теплоизоляция; металлоконструкции этажерок; АСУ с КИПиА.</w:t>
      </w:r>
    </w:p>
    <w:p>
      <w:r>
        <w:rPr>
          <w:i/>
          <w:color w:val="555555"/>
          <w:sz w:val="18"/>
        </w:rPr>
        <w:t xml:space="preserve">Опросные листы, требования к монтажу и исходные требования на оборудование длительного цикла изготовления в настоящем документе не повторяются — см. ОВЭ75-БИ-Л2-ОЛ, ОВЭ75-БИ-Л2-ДЦ, ОВЭ75-БИ-Л2-МТ.</w:t>
      </w:r>
    </w:p>
    <w:p>
      <w:pPr>
        <w:pStyle w:val="Heading2"/>
      </w:pPr>
      <w:r>
        <w:rPr>
          <w:b/>
          <w:sz w:val="24"/>
        </w:rPr>
        <w:t xml:space="preserve">4.1 Определяющие позиции и источники значений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Испарители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4 шт.: 2 × (D 2,0 м; 34,5 м³) и 2 × (D 1,3 м; 8,9 м³); напряжённость парового пространства 22 800/22 000 м³/(м²·ч), потоки пара 49 417 / 23 032 / 17 647 / 5530 м³/ч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рис. 4.4/4.5; табл. 4.1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Центрифуги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 × 2,5 т/ч + 2 × 1,5 т/ч, пульсирующие, 1800 об/мин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4.1, рис. 4.4/4.5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Вакуумное хозяйство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 эжектора II ступеней + 2 ПЭБ (ВВН1-6, ВВН1-3) + 2 барометрических конденсатора (D 2,0 и 1,0 м) + 2 конденсатора ПЭБ (D 0,5 м)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рис. 4.4/4.5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Материал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904L или аналог — все аппараты и трубопроводы растворного тракта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разд. 4.2.1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Сборник маточника 1 с насосами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прямо поименован в перечне Лота №2 ТЗ v4.1 (после выпарного аппарата I ступени); объём — по балансу маточника-1, подогрев — пар через фланец на крышке (граница v4.1)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v4.1, перечень оборудования Лота №2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4.2 Нормативные документы, определяющие требования к оборудованию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10080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34233.1/34233.2-2017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Прочностные расчёты сосудов в составе ОЛ и техтребований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Безопасность машин и оборудования — декларирование/сертификация комплектных машин (центрифуги, насосы)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5. Оборудование вне БИ и на границах лота</w:t>
      </w:r>
    </w:p>
    <w:p>
      <w:pPr>
        <w:pStyle w:val="Heading2"/>
      </w:pPr>
      <w:r>
        <w:rPr>
          <w:b/>
          <w:sz w:val="24"/>
        </w:rPr>
        <w:t xml:space="preserve">5.1 Позиции лота на границе объёма поставки</w:t>
      </w:r>
    </w:p>
    <w:p>
      <w:r>
        <w:rPr>
          <w:sz w:val="20"/>
        </w:rPr>
        <w:t xml:space="preserve">Позиций со статусом «вне БИ» или «в наличии у Заказчика» в перечне лота нет: всё оборудование основной таблицы входит в объём поставки, определяемый Базовым инжинирингом.</w:t>
      </w:r>
    </w:p>
    <w:p>
      <w:pPr>
        <w:pStyle w:val="Heading2"/>
      </w:pPr>
      <w:r>
        <w:rPr>
          <w:b/>
          <w:sz w:val="24"/>
        </w:rPr>
        <w:t xml:space="preserve">5.2 Данные на границах лота (задания на стыке)</w:t>
      </w:r>
    </w:p>
    <w:p>
      <w:r>
        <w:rPr>
          <w:sz w:val="20"/>
        </w:rPr>
        <w:t xml:space="preserve">Сводка по разделу пояснительной записки «Интерфейсы с другими лотами, ЦЭН и общеплощадочными системами».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Стык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Данные на границе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Вход из медного контура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фильтрат 42,2 тыс. м³/год; подводящий трубопровод — вне лота (v4.1)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v4.1 (границы); ТЗ п. 4.1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Из Лота №3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бедный электролит 3,2–3,5 м³/ч (26,6–29,1 тыс. м³/год) при отсечке 27,3 тыс. м³/год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3.1; ТЗ (данные Лота №3); расчёт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 ЦЭН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маточник-2 1,8 тыс. м³/год: 55 т/год Ni, 720 т/год H₂SO₄; подогрев/разбавление 10–15 %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п. 1.4.2.2; расчёт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Из Лота №1/теплоцентра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пар 0,6 МПа 4,3–4,4 т/ч; возврат конденсата ≈3,0 т/ч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п. 1.3.13; расчёт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Кислая СОВ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568 м³/ч; на градирню ≈3,1–3,2 МВт; профицит 4,7 м³/ч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рис. 4.4/4.5, п. 1.3.12; расчёт БИ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На NNH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6 658 т/год в биг-бегах (≈19 т/сут через склад)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3.1; расчёт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Смежное оборудование вне БИ (справочно)</w:t>
      </w:r>
    </w:p>
    <w:p>
      <w:r>
        <w:rPr>
          <w:sz w:val="20"/>
        </w:rPr>
        <w:t xml:space="preserve">Оборудование смежных участков гидрометаллургического передела, примыкающее к лоту по материальному потоку. В объём поставки лота не входит; параметры заданы ИД ч.2 табл. 4.1 и приводятся для увязки границ и проверки исходных требований смежникам.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300"/>
        <w:gridCol w:w="3200"/>
        <w:gridCol w:w="3200"/>
        <w:gridCol w:w="1100"/>
        <w:gridCol w:w="1900"/>
        <w:gridCol w:w="1580"/>
      </w:tblGrid>
      <w:tr>
        <w:trPr>
          <w:tblHeader/>
          <w:cantSplit/>
        </w:trPr>
        <w:tc>
          <w:tcPr>
            <w:tcW w:w="330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 (поз. по ИД)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58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>
                <w:sz w:val="16"/>
              </w:rPr>
              <w:t xml:space="preserve">Намывные фильтры контрольной фильтрации</w:t>
            </w:r>
          </w:p>
          <w:p>
            <w:r>
              <w:rPr>
                <w:color w:val="555555"/>
                <w:sz w:val="14"/>
              </w:rPr>
              <w:t xml:space="preserve">Поз. по ИД: 4.1.20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Получение фильтрата с минимальным количеством твёрдого — питание Лотов №2 и №3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Удельная нагрузка 0,50 м³/(м²·ч); поток 130,0 м³/ч; расч. 259,9 м²</w:t>
            </w:r>
          </w:p>
          <w:p>
            <w:r>
              <w:rPr>
                <w:i/>
                <w:color w:val="555555"/>
                <w:sz w:val="14"/>
              </w:rPr>
              <w:t xml:space="preserve">Время набора осадка 90 % от продолжительности цикла; предусмотреть линии перефильтрации мутного фильтрата и проливов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3 (параллельная работа)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Hastelloy G-35 или аналог</w:t>
            </w:r>
          </w:p>
        </w:tc>
        <w:tc>
          <w:tcPr>
            <w:tcW w:w="1580" w:type="dxa"/>
          </w:tcPr>
          <w:p>
            <w:r>
              <w:rPr>
                <w:sz w:val="16"/>
              </w:rPr>
              <w:t xml:space="preserve">S = 120 м²; факт. 360 м²; коэфф. запаса 1,2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6. Открытые позиции</w:t>
      </w:r>
    </w:p>
    <w:p>
      <w:r>
        <w:rPr>
          <w:sz w:val="20"/>
        </w:rPr>
        <w:t xml:space="preserve">Перечень вопросов, определяемых на стадии Базового инжиниринга и по результатам запроса ТКП; до их закрытия соответствующие графы спецификации носят предварительный характер.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Количественная спецификация с массами и энергопотреблением — после получения бюджетных ТКП по основному оборудованию (ТЗ v4.1)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Габарит/масса испарителей и разбивка на транспортабельные части — по данным изготовителей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Габариты и масса по 2 позициям из 17 (в исходных данных не заданы) — по ТКП изготовителей; массы самых тяжёлых неразъёмных частей — в требованиях к монтажу.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Установленная мощность электроприёмников по 14 позициям из 17 — по ТКП; сводная таблица электроприёмников — в документе по электроснабжению.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спецификации (характеристики, габариты, массы, энергопотребление по всем позициям) — после получения бюджетных ТКП не менее чем от 2–3 изготовителей на каждую позицию основного оборудования.</w:t>
      </w:r>
    </w:p>
    <w:sectPr>
      <w:headerReference w:type="default" r:id="rIdHdr"/>
      <w:footerReference w:type="default" r:id="rIdFtr"/>
      <w:pgSz w:w="16838" w:h="11906" w:orient="landscape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ОВЭ75-БИ-Л2-СО · Спецификация оборудования с техническими характеристиками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№2 «Участок купороса»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ОВЭ75-БИ-Л2-СО · Спецификация оборудования с техническими характеристиками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