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Спецификация оборудования с техническими характеристиками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ОВЭ75-БИ-Л3-СО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D-18.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положения: назначение, границы лота, статусы поставки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Спецификация оборудования лота по участкам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Сводные показатели по лоту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Пояснения к составу оборудования и источники данных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Оборудование вне БИ и на границах лота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№3 «Отделение электроэкстракции»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ИД ч.2 (табл. 4.2, п. 4.2.2, приложение В); ТЗ на БИ ред. 4.1 — границы Лота №3 (п. 6.2) и перечни включаемого и не включаемого в БИ оборудования (п. 6.3)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Оборудование получения катодной меди. Размещается в существующем корпусе электрорафинирования меди металлургического цеха (ЦЭМ): шаг колонн 24 000 мм, крановый пролёт 22 000 мм. 180 ванн в две серии по 90 шт., каждая серия в отдельном пролёте, обслуживается своим спецкраном.</w:t>
      </w:r>
    </w:p>
    <w:p>
      <w:r>
        <w:rPr>
          <w:sz w:val="20"/>
        </w:rPr>
        <w:t xml:space="preserve">Участки лота по ТЗ: циркуляция и охлаждение электролита; электролизные ванны с аспирационными укрытиями; роботизированная катодосдирочная машина (КСМ); формирование пакетов катодов; ошиновка и токоподвод; спецкраны с системой позиционирования.</w:t>
      </w:r>
    </w:p>
    <w:p>
      <w:r>
        <w:rPr>
          <w:sz w:val="20"/>
        </w:rPr>
        <w:t xml:space="preserve">Режим работы: 358 дней/год, 8585 ч, круглосуточно.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По ТЗ в состав Базового инжиниринга Лота №3 не включаются: шины магистральные; выпрямители для ванн электроэкстракции; напорный трубопровод для ванн; сливной трубопровод для ванн; система аспирации от ванн и очистки аспирационных газов; циркуляционные насосы; грузоподъёмное оборудование; нутч-фильтр; оборудование для обработки свинцового шлама и отработанных свинцовых анодов; теплообменники.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ОВЭ75-БИ-Л3-PFD — Принципиальная технологическая схема (PFD)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ОВЭ75-БИ-Л3-ЭС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ОВЭ75-БИ-Л3-LL — Перечень трубопроводов, арматуры и приборов КИПиА (line list)</w:t>
      </w:r>
    </w:p>
    <w:p>
      <w:r>
        <w:rPr>
          <w:sz w:val="20"/>
        </w:rPr>
        <w:t xml:space="preserve">— ОВЭ75-БИ-Л3-СТ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Нестандартизированное изделие; изготавливается заводом-изготовителем по техническим требованиям и эскизным чертежам Исполнителя (задание на изготовление).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Закупка нового оборудования либо модернизация существующего оборудования Заказчика; выбор — по результатам обследования и ТКП.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Вне БИ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Позиция в объём Базового инжиниринга по лоту не входит; приводится справочно для увязки границ; в составе БИ по ней выдаётся задание на стыке смежному проектировщику или поставщику.</w:t>
            </w:r>
          </w:p>
        </w:tc>
      </w:tr>
    </w:tbl>
    <w:p>
      <w:r>
        <w:rPr>
          <w:sz w:val="20"/>
        </w:rPr>
        <w:t xml:space="preserve">По документации Исполнителя (технические требования, эскизные чертежи) изготавливаются: циркуляционный бак (бак питания ванн). Комплектно по ТКП изготовителей поставляются 11 позиций из 14. Справочно (вне объёма БИ по лоту) в таблицу включены: выпрямители.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№3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Циркуляция электролита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Циркуляционный бак (бак питания ванн)</w:t>
            </w:r>
          </w:p>
          <w:p>
            <w:r>
              <w:rPr>
                <w:color w:val="333333"/>
                <w:sz w:val="15"/>
              </w:rPr>
              <w:t xml:space="preserve">Бак с перегородкой</w:t>
            </w:r>
          </w:p>
          <w:p>
            <w:r>
              <w:rPr>
                <w:color w:val="555555"/>
                <w:sz w:val="14"/>
              </w:rPr>
              <w:t xml:space="preserve">Поз. по ИД: 4.2.1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Смешение богатого раствора выщелачивания с бедным электролитом из ванн, приём растворов промывки катодов и системы аспирации, дозирование коллоидной/антиаэрозольной добавки и кислоты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0,25 ч; поток 1634,5 м³/ч; расч. 408,6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Конструкционная сталь или армированный бетон с кислотоупорной футеровкой; допускается изготовление по месту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300,0 м³ на нитку; факт. 510,0 м³; коэфф. запаса 1,2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Холодильник электролита пластинчатый</w:t>
            </w:r>
          </w:p>
          <w:p>
            <w:r>
              <w:rPr>
                <w:color w:val="333333"/>
                <w:sz w:val="15"/>
              </w:rPr>
              <w:t xml:space="preserve">Пластинчатый теплообменник, охлаждение водой</w:t>
            </w:r>
          </w:p>
          <w:p>
            <w:r>
              <w:rPr>
                <w:color w:val="555555"/>
                <w:sz w:val="14"/>
              </w:rPr>
              <w:t xml:space="preserve">Поз. по ИД: 4.2.2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богатого раствора перед подачей в ванны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  <w:p>
            <w:r>
              <w:rPr>
                <w:i/>
                <w:color w:val="555555"/>
                <w:sz w:val="14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W = 2500 кВт на нитку; факт. 5000 кВт; 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Электролиз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Электролизная ванна</w:t>
            </w:r>
          </w:p>
          <w:p>
            <w:r>
              <w:rPr>
                <w:color w:val="333333"/>
                <w:sz w:val="15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  <w:p>
            <w:r>
              <w:rPr>
                <w:color w:val="555555"/>
                <w:sz w:val="14"/>
              </w:rPr>
              <w:t xml:space="preserve">Поз. по ИД: 4.2.3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Электроэкстракция меди из растворов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  <w:p>
            <w:r>
              <w:rPr>
                <w:i/>
                <w:color w:val="555555"/>
                <w:sz w:val="14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(2 серии × 90); расчётно 163 шт., коэфф. запаса 1,104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Полимербетон (монолитный винилэфирный композит)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Внутренние габариты 8485 × 1155 × 1650 мм (Д×Ш×В); 84 катода, 85 анодов</w:t>
            </w:r>
          </w:p>
          <w:p>
            <w:r>
              <w:rPr>
                <w:color w:val="333333"/>
                <w:sz w:val="15"/>
              </w:rPr>
              <w:t xml:space="preserve">Масса ванны 8,7 т (180 шт. — 1566 т); закорачивающая рама 8,7 т, подъёмная рама в сборе с закорачивающей 10,0 т; в комплекте: коллектор подачи с креплениями, закладные рельсов нутча, донная пробка, конусы позиционирования крана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 масс поставки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Аноды из свинцового сплава</w:t>
            </w:r>
          </w:p>
          <w:p>
            <w:r>
              <w:rPr>
                <w:color w:val="333333"/>
                <w:sz w:val="15"/>
              </w:rPr>
              <w:t xml:space="preserve">Pb-Ca / Pb-Ag сплавы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Аноды ванн электроэкстракции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85 анодов на ванну; расход 2300 шт./год (0,033 шт. на т Cu)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× 85 = 15 300 шт. первичная загрузка (расчётно)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Свинцовый сплав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940 × 952 × 6 мм, холоднокатаные, сплав Pb–Ca (0,06–0,08 %)–Sn (1,35–1,5 %); ≈65 кг/шт., первичная загрузка ≈995 т</w:t>
            </w:r>
          </w:p>
          <w:p>
            <w:r>
              <w:rPr>
                <w:color w:val="666666"/>
                <w:sz w:val="13"/>
              </w:rPr>
              <w:t xml:space="preserve">Источник: ИД ч.2 табл. 8.5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Катодные матрицы (постоянные катоды)</w:t>
            </w:r>
          </w:p>
          <w:p>
            <w:r>
              <w:rPr>
                <w:color w:val="333333"/>
                <w:sz w:val="15"/>
              </w:rPr>
              <w:t xml:space="preserve">Система SPLIT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Матрицы для наращивания катодной меди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× 84 = 15 120 шт. первичная загрузка (расчётно)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1000 × 1000 × 3,25 мм, сталь 316L, с полипропиленовым обрамлением; 50–55 кг/шт., первичная загрузка 756–832 т</w:t>
            </w:r>
          </w:p>
          <w:p>
            <w:r>
              <w:rPr>
                <w:color w:val="666666"/>
                <w:sz w:val="13"/>
              </w:rPr>
              <w:t xml:space="preserve">Источник: ИД ч.2 табл. 8.5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Аспирационные укрытия ванн</w:t>
            </w:r>
          </w:p>
          <w:p>
            <w:r>
              <w:rPr>
                <w:color w:val="333333"/>
                <w:sz w:val="15"/>
              </w:rPr>
              <w:t xml:space="preserve">Бортовой отсос + легкосъёмный колпак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Локальная аспирация ванн, исключающая достижение точки росы под колпаками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комплектов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Коррозионностойкое исполнение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Ошиновка ванн</w:t>
            </w:r>
          </w:p>
          <w:p>
            <w:r>
              <w:rPr>
                <w:color w:val="333333"/>
                <w:sz w:val="15"/>
              </w:rPr>
              <w:t xml:space="preserve">Конструкция с двойным контактом разработки Outotec или аналоги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Токоподвод с уравнительной шиной для анодов и/или катодов — равномерное распределение тока, работа при более высоких плотностях тока и выходе по току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Ток серии 47,0 кА; падение напряжения в межванновой ошиновке ≤ 0,06 В/ванну; концевые шинные мосты серий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расчёт БИ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 на 180 ванн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Медь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Обработка катодов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333333"/>
                <w:sz w:val="15"/>
              </w:rPr>
              <w:t xml:space="preserve">Референс — поставка Outotec: роботы KUKA KR 300 (подающий) и KR 180 (выгружающий)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  <w:p>
            <w:r>
              <w:rPr>
                <w:color w:val="333333"/>
                <w:sz w:val="15"/>
              </w:rPr>
              <w:t xml:space="preserve">Катодный шаг 95 мм (референсное значение 100 мм приводится к фактическому)</w:t>
            </w:r>
          </w:p>
          <w:p>
            <w:r>
              <w:rPr>
                <w:color w:val="666666"/>
                <w:sz w:val="13"/>
              </w:rPr>
              <w:t xml:space="preserve">Источник: ИД ч.2 прил. В</w:t>
            </w:r>
          </w:p>
          <w:p>
            <w:r>
              <w:rPr>
                <w:i/>
                <w:color w:val="555555"/>
                <w:sz w:val="14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Конструкционная и нержавеющая сталь, ПВХ, полипропилен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Установленная мощность 125 кВт, потребляемая 105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формирования пакетов катодов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Укладка, весовой контроль, маркировка, увязка, «перфорация» пакета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Пакеты 1400–2000 кг (сбыт требует 2500 ± 50 кг)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Нанесение изоляции кромок катодных матриц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Полипропиленовый профиль — расход 2770 кг/год</w:t>
            </w:r>
          </w:p>
          <w:p>
            <w:r>
              <w:rPr>
                <w:color w:val="333333"/>
                <w:sz w:val="15"/>
              </w:rPr>
              <w:t xml:space="preserve">Полипропиленовый профиль 1170 × 22,5 × 10 мм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Подъёмно-транспортное оборудование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  <w:p>
            <w:r>
              <w:rPr>
                <w:i/>
                <w:color w:val="555555"/>
                <w:sz w:val="14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 одному на серию/пролёт)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Грузоподъёмность ориентировочно 16–20 т (полный комплект 84 матриц с осадком 11,6 т + траверса с поддоном 3–5 т); режим работы не легче А6/М7</w:t>
            </w:r>
          </w:p>
          <w:p>
            <w:r>
              <w:rPr>
                <w:color w:val="666666"/>
                <w:sz w:val="13"/>
              </w:rPr>
              <w:t xml:space="preserve">Источник: расчёт БИ по ИД ч.2 п. 4.2.2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 / модерни­зация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Передача пакетов в помещение склада готовой продукции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Реагентное хозяйство (позиции вне табл. 4.2 ИД ч.2)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Приготовление раствора гуартека (медленное растворение в тёплой воде при умеренном перемешивании) и дозирование в циркуляционные баки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обеспечивает работу от каждой ≥12 ч; тихоходные рамные мешалки</w:t>
            </w:r>
          </w:p>
          <w:p>
            <w:r>
              <w:rPr>
                <w:color w:val="333333"/>
                <w:sz w:val="15"/>
              </w:rPr>
              <w:t xml:space="preserve">В составе реагентного хозяйства также: узел добавки FC-1100 (исполнение под аналоги), узлы дозирования H₂SO₄ ≈0,33 т/ч и HCl 33 % до 0,55 кг/ч</w:t>
            </w:r>
          </w:p>
          <w:p>
            <w:r>
              <w:rPr>
                <w:color w:val="666666"/>
                <w:sz w:val="13"/>
              </w:rPr>
              <w:t xml:space="preserve">Источник: ИД ч.2 п. 1.3.13–1.3.14, прил. Б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(поочерёдно работающие)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2.6 Питание постоянным током (вне объёма БИ по Лоту №3)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Выпрямители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Питание серий ванн постоянным током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250 В (max) / 227 В (ном); I = 47,0 кА; коэфф. запаса 1,10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Вне БИ по Лоту №3 (перечень «не включа­ется»)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14 (участков — 6)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8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11; Изготовление — 1; Закуп / модернизация — 1; Вне БИ по Лоту №3 (перечень «не включается») — 1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14 из 14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7 из 14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 из 14 позиций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Установленная мощность по позициям с единичным значением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≈125 кВт: Роботизированная катодосдирочная машина (КСМ) — 1 × 125 кВт</w:t>
            </w:r>
          </w:p>
        </w:tc>
      </w:tr>
    </w:tbl>
    <w:p>
      <w:r>
        <w:rPr>
          <w:i/>
          <w:color w:val="555555"/>
          <w:sz w:val="18"/>
        </w:rPr>
        <w:t xml:space="preserve">Суммирование выполнено только по позициям, для которых задано одно значение мощности и целое количество единиц; позиции с диапазоном мощности и без данных в сумму не входят. Полная таблица электроприёмников лота сводится в документе по электроснабжению после получения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разделы пояснительной записки «Перечень основного и вспомогательного технологического оборудования» и «Спецификация оборудования, опросные листы, исходные требования на оборудование длительного цикла изготовления».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p>
      <w:pPr>
        <w:pStyle w:val="Heading2"/>
      </w:pPr>
      <w:r>
        <w:rPr>
          <w:b/>
          <w:sz w:val="24"/>
        </w:rPr>
        <w:t xml:space="preserve">4.1 Данные для спецификации из раздела о спецификации и опросных листах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ОВЭ75-БИ-Л3-ОЛ, ОВЭ75-БИ-Л3-ДЦ, ОВЭ75-БИ-Л3-МТ.</w:t>
      </w:r>
    </w:p>
    <w:p>
      <w:pPr>
        <w:pStyle w:val="Heading2"/>
      </w:pPr>
      <w:r>
        <w:rPr>
          <w:b/>
          <w:sz w:val="24"/>
        </w:rPr>
        <w:t xml:space="preserve">4.2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Ванны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Электроды (первичная загрузка)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аноды 15 300 шт. (Pb–Ca–Sn); матрицы 15 120 шт. (316L, SPLIT)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КСМ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Спецкраны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Циркуляционные баки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п.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Узлы реагентов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Вне поставки (задание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 п. 6.3 (перечень «не включается»)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Массы поставки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Опросные листы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Привести в листах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шаг 95 мм (не 100), пакет 2500 ± 50 кг (не 1400–2000)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Длинноцикловое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Выдача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«Прочие условия» (поэтапная выдача)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сертификация/декларирование поставляемых позиций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Оборудование производственное. Общие требования безопасности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Исполнение УХЛ3 для оборудования электролизного зала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Упаковка и транспортирование в районы Крайнего Севера (≈3,4 тыс. т поставки)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5582-75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Нержавеющий прокат (отечественный аналог 316L — 03Х17Н14М3) для матриц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Позиции основной таблицы, по которым объём поставки ограничен границей БИ, существующим оборудованием Заказчика или перечнем «не включается» ТЗ: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700"/>
        <w:gridCol w:w="4200"/>
        <w:gridCol w:w="2800"/>
        <w:gridCol w:w="6580"/>
      </w:tblGrid>
      <w:tr>
        <w:trPr>
          <w:tblHeader/>
          <w:cantSplit/>
        </w:trPr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Поз.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6580" w:type="dxa"/>
            <w:shd w:val="clear" w:fill="EFEFEF"/>
          </w:tcPr>
          <w:p>
            <w:r>
              <w:rPr>
                <w:b/>
                <w:sz w:val="17"/>
              </w:rPr>
              <w:t xml:space="preserve">Ограничение объёма поставки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Холодильник электролита пластинчатый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Выпрямители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Вне БИ по Лоту №3 (перечень «не включается»)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Позиция в объём Базового инжиниринга по лоту не входит; приводится справочно для увязки границ; в составе БИ по ней выдаётся задание на стыке смежному проектировщику или поставщику.</w:t>
            </w:r>
          </w:p>
        </w:tc>
      </w:tr>
    </w:tbl>
    <w:p>
      <w:r>
        <w:rPr>
          <w:sz w:val="20"/>
        </w:rPr>
        <w:t xml:space="preserve">Перечень оборудования, не включаемого в БИ по Лоту №3 (ТЗ): шины магистральные; выпрямители для ванн электроэкстракции; напорный трубопровод для ванн; сливной трубопровод для ванн; система аспирации от ванн и очистки аспирационных газов; циркуляционные насосы; грузоподъёмное оборудование; нутч-фильтр; оборудование для обработки свинцового шлама и отработанных свинцовых анодов; теплообменники. По каждой позиции в составе БИ выдаётся задание на стыке с параметрами и физической границей.</w:t>
      </w:r>
    </w:p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«Разграничение поставки и стыковка границ с позициями „вне БИ“».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Выпрямители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п.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Трубопроводы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 5.2; ИД прил. В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Теплообменники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3.1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Аспирация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 5.2; ИД п. 4.1.2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Насосы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Краны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 5.3; ИД п.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Шлам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п. 4.1.2, прил.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Смежное оборудование вне БИ (справочно)</w:t>
      </w:r>
    </w:p>
    <w:p>
      <w:r>
        <w:rPr>
          <w:sz w:val="20"/>
        </w:rPr>
        <w:t xml:space="preserve">Оборудование смежных участков гидрометаллургического передела, примыкающее к лоту по материальному потоку. В объём поставки лота не входит; параметры заданы ИД ч.2 табл. 4.1 и приводятся для увязки границ и проверки исходных требований смежникам.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300"/>
        <w:gridCol w:w="3200"/>
        <w:gridCol w:w="3200"/>
        <w:gridCol w:w="1100"/>
        <w:gridCol w:w="1900"/>
        <w:gridCol w:w="1580"/>
      </w:tblGrid>
      <w:tr>
        <w:trPr>
          <w:tblHeader/>
          <w:cantSplit/>
        </w:trPr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(поз. по ИД)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58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Намывные фильтры контрольной фильтрации</w:t>
            </w:r>
          </w:p>
          <w:p>
            <w:r>
              <w:rPr>
                <w:color w:val="555555"/>
                <w:sz w:val="14"/>
              </w:rPr>
              <w:t xml:space="preserve">Поз. по ИД: 4.1.20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i/>
                <w:color w:val="555555"/>
                <w:sz w:val="14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 (параллельная работа)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или аналог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S = 120 м²; факт. 360 м²; коэфф. запаса 1,2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Теплообменник подогрева бедного электролита</w:t>
            </w:r>
          </w:p>
          <w:p>
            <w:r>
              <w:rPr>
                <w:color w:val="555555"/>
                <w:sz w:val="14"/>
              </w:rPr>
              <w:t xml:space="preserve">Поз. по ИД: 4.1.17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Подогрев оборотного раствора фильтратом от выщелачивания перед каскадом; пусковой подогрев паром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Тепловая мощность 1240 кВт расч.; 50,0 → 59,4 °С по 124,7 м³/ч; 75,0 → 65,6 °С по 129,5 м³/ч</w:t>
            </w:r>
          </w:p>
          <w:p>
            <w:r>
              <w:rPr>
                <w:i/>
                <w:color w:val="555555"/>
                <w:sz w:val="14"/>
              </w:rPr>
              <w:t xml:space="preserve">Пластинчатый секционный; резервная секция на посекционную чистку от гипсовых инкрустаций; обходные линии для тонкого регулирования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или аналог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W = 1500 кВт; коэфф. запаса 1,2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7 позициям из 14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13 позициям из 14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ОВЭ75-БИ-Л3-СО · Спецификация оборудования с техническими характеристиками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ОВЭ75-БИ-Л3-СО · Спецификация оборудования с техническими характеристиками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