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№4 «Склад готовой продукции»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Электроснабжение и электрооборудование: однолинейные схемы, предварительный перечень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ОВЭ75-БИ-Л4-ЭС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D-33, E-02…E-17.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сведения по электроснабжению и электрооборудованию Лот №4 «Склад готовой продукции» в объёме, принятом на стадии Базового инжиниринга: характеристику источников и порядок получения технических условий, обоснование принятой схемы электроснабжения, расчёт электрических нагрузок с категориями надёжности, решения по компенсации реактивной мощности, предварительную оценку трансформаторной мощности, принципиальные решения по кабельным линиям, объём расчёта токов короткого замыкания, решения по заземлению, молниезащите и освещению, классификацию взрывоопасных зон, предварительный перечень основного электрооборудования и состав опросных листов.</w:t>
      </w:r>
    </w:p>
    <w:p>
      <w:r>
        <w:rPr>
          <w:sz w:val="20"/>
        </w:rPr>
        <w:t xml:space="preserve">Документ выполняет требование состава Базового инжиниринга «Сведения по электроснабжению и электрооборудованию по Приложению №3 (объём сведений уточняется с учётом согласованных границ проектирования)» (ТЗ на БИ ред. 4.1) и раскрывает пункты Приложения №3 к ТЗ, отнесённые к стадии Базового инжиниринга.</w:t>
      </w:r>
    </w:p>
    <w:p>
      <w:r>
        <w:rPr>
          <w:sz w:val="20"/>
        </w:rPr>
        <w:t xml:space="preserve">Режим работы объекта: согласуется при разработке БИ; для оценки годового потребления принят круглогодичный фонд 8 760 ч (ТЗ на БИ ред. 4.1).</w:t>
      </w:r>
    </w:p>
    <w:p>
      <w:r>
        <w:rPr>
          <w:color w:val="666666"/>
          <w:sz w:val="17"/>
        </w:rPr>
        <w:t xml:space="preserve">Источник: ТЗ на БИ ред. 4.1 (п. 1.3 — базис размещения, состав БИ по Лоту №4, п. 6.2 — границы); Приложение №3 к ТЗ; Приложение №5 к ТЗ (весоизмерение, электропитание систем автоматизации); расчётная модель КВАНТ (сводная нагрузка комплекса)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ОВЭ75-БИ-Л4-ПЗ — Пояснительная записка</w:t>
      </w:r>
    </w:p>
    <w:p>
      <w:r>
        <w:rPr>
          <w:sz w:val="20"/>
        </w:rPr>
        <w:t xml:space="preserve">— ОВЭ75-БИ-Л4-КР — Компоновочные решения (планы, разрезы)</w:t>
      </w:r>
    </w:p>
    <w:p>
      <w:r>
        <w:rPr>
          <w:sz w:val="20"/>
        </w:rPr>
        <w:t xml:space="preserve">— ОВЭ75-БИ-Л4-СО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ОВЭ75-БИ-Л4-ОЛ — Опросные листы основного оборудования (альбом)</w:t>
      </w:r>
    </w:p>
    <w:p>
      <w:r>
        <w:rPr>
          <w:sz w:val="20"/>
        </w:rPr>
        <w:t xml:space="preserve">— ОВЭ75-БИ-Л4-АСУ — Схема комплекса технических средств АСУ</w:t>
      </w:r>
    </w:p>
    <w:p>
      <w:pPr>
        <w:pStyle w:val="Heading2"/>
      </w:pPr>
      <w:r>
        <w:rPr>
          <w:b/>
          <w:sz w:val="24"/>
        </w:rPr>
        <w:t xml:space="preserve">1.2 Объём Приложения №3, принятый на стадии Базового инжиниринга</w:t>
      </w:r>
    </w:p>
    <w:p>
      <w:r>
        <w:rPr>
          <w:sz w:val="20"/>
        </w:rPr>
        <w:t xml:space="preserve">Приложение №3 к ТЗ содержит общие требования Заказчика к проектированию в части электроснабжения и электрооборудования и само оговаривает, что применение его требований и объём поставки в составе Базового инжиниринга уточняются по каждому лоту с учётом согласованных границ проектирования. Ниже приведён объём, принятый в настоящей ревизии; он подлежит согласованию с Заказчиком до начала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620"/>
        <w:gridCol w:w="3800"/>
        <w:gridCol w:w="2600"/>
        <w:gridCol w:w="2334"/>
      </w:tblGrid>
      <w:tr>
        <w:trPr>
          <w:tblHeader/>
          <w:cantSplit/>
        </w:trPr>
        <w:tc>
          <w:tcPr>
            <w:tcW w:w="620" w:type="dxa"/>
            <w:shd w:val="clear" w:fill="EFEFEF"/>
          </w:tcPr>
          <w:p>
            <w:r>
              <w:rPr>
                <w:b/>
                <w:sz w:val="15"/>
              </w:rPr>
              <w:t xml:space="preserve">Пункт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Приложения №3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Объём стадии Базового инжиниринга</w:t>
            </w:r>
          </w:p>
        </w:tc>
        <w:tc>
          <w:tcPr>
            <w:tcW w:w="2334" w:type="dxa"/>
            <w:shd w:val="clear" w:fill="EFEFEF"/>
          </w:tcPr>
          <w:p>
            <w:r>
              <w:rPr>
                <w:b/>
                <w:sz w:val="15"/>
              </w:rPr>
              <w:t xml:space="preserve">Относится к последующим стадиям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краткую характеристику источников электроснабжения. Точки подключения к электрическим сетям определяются в соответствии с Техническими условиями на подключение, запрашиваемыми в процессе проектирования на основании расчета электрических нагрузок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2: характеристика источников, уровни напряжения, границы поставки; расчёт нагрузок для запроса технических условий (раздел 4)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Точки подключения и разрешённая мощность — по техническим условиям сетевой организации; запрос выполняет Заказчик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обоснование принятой схемы электроснабжения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3: принятая схема электроснабжения и её обоснование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Уточнение схемы после получения технических условий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количестве электроприемников, их установленной и расчетной мощности: сводная таблица всего технологического оборудования, являющегося потребителями электроэнергии, разбивка нагрузок по категориям надежности электроснабжения (I, II, III категории по ПУЭ), указание пусковых токов и коэффициентов одновременности, итоговая суммарная потребляемая мощность объекта (для запроса технических условий у сетевой организации)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4: перечень электроприёмников, установленная и расчётная мощность, категории надёжности, итог для запроса технических условий; пусковые характеристики приводов мощностью от 100 кВт — по каталожным данным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Пусковые токи и коэффициенты одновременности всех электроприёмников — по данным изготовителей приводов на детальном этапе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решения по воздушным и кабельным линиям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принципиальные решения по кабельным линиям, требования к исполнению и прокладке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Трассировка, кабельные журналы,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проектных решений по компенсации реактивной мощности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5: решения по компенсации реактивной мощности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типа и мощности компенсирующих устройств — после получения технических условий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мощности сетевых и трансформаторных объектов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6: расчётная нагрузка склада как исходные данные для подстанции корпуса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трансформаторов подстанции корпуса — вне границ поставки лота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E-08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мероприятия по заземлению (занулению) и молниезащите (в том числе выбор типа заземлителя: глубинные электроды, сетка, химические электроды)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мероприятия по заземлению и молниезащите, тип системы заземления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типа заземлителя — по удельному сопротивлению грунтов на основании инженерных изысканий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E-09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системы рабочего и аварийного освещения, выбор типов светильников для разных зон (промышленные, взрывозащищенные, антикоррозионные), определение зон аварийного и эвакуационного освещения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10: система рабочего и аварийного освещения, требования к исполнению по зонам, зоны аварийного и эвакуационного освещения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Светотехнический расчёт и выбор типов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E-10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схемы распределения электроэнергии на всех уровнях напряжения, в том числе схемы главных распределительных щитов (ГРЩ) и трансформаторных подстанций (ТП)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Разделы 3 и 14: принципиальные схемы распределения электроэнергии на всех уровнях напряжения, схемы главных распределительных устройств и подстанций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Полные схемы всех щитов 0,4 кВ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E-11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предварительный выбор сечений основных питающих кабелей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расчётные токи основных питающих линий и порядок предварительного выбора сечений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Окончательные сечения — после расчёта токов короткого замыкания по техническим условиям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Планы расположения электрооборудования и кабельных трасс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14: размещение основного электрооборудования и главные кабельные коридоры в составе компоновочных решений лота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Детальная трассировка кабелей и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Схемы заземления и молниезащиты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принципиальные решения по заземлению и молниезащите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Рабочие схемы сеток заземления и молниеприёмников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Расчет токов короткого замыкания для предварительного выбора оборудования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8: расчёт токов короткого замыкания для предварительного выбора оборудования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Расчёт уставок релейной защиты и карты селективности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Чертежи с нанесением взрывоопасных зон в соответствии с классами (по ГОСТ IEC 60079-10-1 / ПУЭ)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11: обоснование отсутствия взрывоопасных зон при литий-ионных тяговых аккумуляторах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При изменении типа аккумуляторов — классификация зоны зарядной по ПУЭ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Спецификация основного оборудования и материалов с указанием технических характеристик для оборудования длительного цикла изготовления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12: предварительный перечень основного электрооборудования, включая оборудование длительного цикла изготовления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Спецификации кабельной продукции, кабельных конструкций и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Комплект опросных листов на основное электротехническое оборудование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13: перечень и состав опросных листов на основное электротехническое оборудование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Заполнение опросных листов — после согласования перечня оборудования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№3 к ТЗ (общие требования в части электроснабжения и электрооборудования); ТЗ на БИ ред. 4.1</w:t>
      </w:r>
    </w:p>
    <w:p>
      <w:r>
        <w:rPr>
          <w:sz w:val="20"/>
        </w:rPr>
        <w:t xml:space="preserve">Стоимостная часть электротехнического раздела — сбор технико-коммерческих предложений на основное и длинноцикловое электрооборудование и оценка стоимости комплектной поставки — выполняется в составе стоимостного блока лота.</w:t>
      </w:r>
    </w:p>
    <w:p>
      <w:pPr>
        <w:pStyle w:val="Heading2"/>
      </w:pPr>
      <w:r>
        <w:rPr>
          <w:b/>
          <w:sz w:val="24"/>
        </w:rPr>
        <w:t xml:space="preserve">1.3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ПУЭ (изд. 7)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Категории надёжности электроснабжения; электроустановки зарядной (при свинцово-кислотных аккумуляторов)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СП 52.13330 (актуальная редакция)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Освещение зоны автоматической техники и весовых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ГОСТ Р 21.101-2020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Граница состава Базового инжиниринга и рабочей документации: спецификации материалов и кабельные журналы — рабочая документация</w:t>
            </w:r>
          </w:p>
        </w:tc>
      </w:tr>
    </w:tbl>
    <w:p>
      <w:r>
        <w:rPr>
          <w:sz w:val="20"/>
        </w:rPr>
        <w:t xml:space="preserve">Перечень приведён в объёме, необходимом для решений настоящей ревизии, и дополняется на последующих стадиях проектирования.</w:t>
      </w:r>
    </w:p>
    <w:p>
      <w:pPr>
        <w:pStyle w:val="Heading1"/>
      </w:pPr>
      <w:r>
        <w:rPr>
          <w:b/>
          <w:sz w:val="28"/>
        </w:rPr>
        <w:t xml:space="preserve">2. Источники электроснабжения и точки подключения</w:t>
      </w:r>
    </w:p>
    <w:p>
      <w:r>
        <w:rPr>
          <w:sz w:val="20"/>
        </w:rPr>
        <w:t xml:space="preserve">Электроснабжение склада готовой продукции предусматривается на напряжении 0,4 кВ от комплектной трансформаторной подстанции корпуса склада. Базис размещения по ТЗ на БИ ред. 4.1 (п. 1.3) — новый склад в составе нового строительства; резервный сценарий — размещение в существующем корпусе с питанием от его трансформаторных подстанций, располагаемый резерв мощности которых определяется обследованием.</w:t>
      </w:r>
    </w:p>
    <w:p>
      <w:r>
        <w:rPr>
          <w:sz w:val="20"/>
        </w:rPr>
        <w:t xml:space="preserve">Потребителей напряжением выше 1 кВ склад не имеет. Собственная трансформаторная подстанция в границы Лота №4 не входит; настоящий документ выдаёт для неё исходные данные — расчётную нагрузку склада и категории надёжности электроснабжения.</w:t>
      </w:r>
    </w:p>
    <w:p>
      <w:r>
        <w:rPr>
          <w:sz w:val="20"/>
        </w:rPr>
        <w:t xml:space="preserve">Точка подключения 0,4 кВ фиксируется при выдаче задания на корпус; для нового строительства она определяется техническими условиями и решениями генерального проектировщика по генеральному плану.</w:t>
      </w:r>
    </w:p>
    <w:p>
      <w:pPr>
        <w:pStyle w:val="Heading2"/>
      </w:pPr>
      <w:r>
        <w:rPr>
          <w:b/>
          <w:sz w:val="24"/>
        </w:rPr>
        <w:t xml:space="preserve">2.1 Порядок получения технических условий</w:t>
      </w:r>
    </w:p>
    <w:p>
      <w:r>
        <w:rPr>
          <w:sz w:val="20"/>
        </w:rPr>
        <w:t xml:space="preserve">Точки подключения к электрическим сетям определяются техническими условиями на технологическое присоединение, запрашиваемыми на основании расчёта электрических нагрузок. Распределение ответственности и последовательность действий приведены ниже и подлежат закреплению договором: сроки сетевой организации являются внешним условием и не относятся к графику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0"/>
        <w:gridCol w:w="1900"/>
        <w:gridCol w:w="3454"/>
      </w:tblGrid>
      <w:tr>
        <w:trPr>
          <w:tblHeader/>
          <w:cantSplit/>
        </w:trPr>
        <w:tc>
          <w:tcPr>
            <w:tcW w:w="4000" w:type="dxa"/>
            <w:shd w:val="clear" w:fill="EFEFEF"/>
          </w:tcPr>
          <w:p>
            <w:r>
              <w:rPr>
                <w:b/>
                <w:sz w:val="15"/>
              </w:rPr>
              <w:t xml:space="preserve">Мероприятие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Исполнитель</w:t>
            </w:r>
          </w:p>
        </w:tc>
        <w:tc>
          <w:tcPr>
            <w:tcW w:w="3454" w:type="dxa"/>
            <w:shd w:val="clear" w:fill="EFEFEF"/>
          </w:tcPr>
          <w:p>
            <w:r>
              <w:rPr>
                <w:b/>
                <w:sz w:val="15"/>
              </w:rPr>
              <w:t xml:space="preserve">Срок и условие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Расчёт электрических нагрузок лота для запроса технических условий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Выполнен в объёме настоящей ревизии; уточняется после утверждения перечня оборудования и получения предложений изготовителей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Сводная заявка на технологическое присоединение по комплексу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Формируется по сводной нагрузке комплекса — приведена в разделе 4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Запрос и получение технических условий у сетевой организации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Заказчик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Сроки определяются сетевой организацией и не входят в график выпуска БИ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Уточнение точек подключения, разрешённой мощности, требований к коэффициенту мощности и качеству электроэнергии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После получения технических условий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Проектирование питающих сетей до границы поставки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Генеральный проектировщик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На стадии ОТР по материалам БИ</w:t>
            </w:r>
          </w:p>
        </w:tc>
      </w:tr>
    </w:tbl>
    <w:p>
      <w:r>
        <w:rPr>
          <w:sz w:val="20"/>
        </w:rPr>
        <w:t xml:space="preserve">До получения технических условий принимаются следующие допущения: уровень напряжения питающей сети и мощность короткого замыкания в точке присоединения исходными данными не заданы; расчёты токов короткого замыкания и выбор аппаратов выполняются после их получения. Все численные значения настоящего раздела предварительные.</w:t>
      </w:r>
    </w:p>
    <w:p>
      <w:pPr>
        <w:pStyle w:val="Heading1"/>
      </w:pPr>
      <w:r>
        <w:rPr>
          <w:b/>
          <w:sz w:val="28"/>
        </w:rPr>
        <w:t xml:space="preserve">3. Обоснование принятой схемы электроснабжения</w:t>
      </w:r>
    </w:p>
    <w:p>
      <w:r>
        <w:rPr>
          <w:sz w:val="20"/>
        </w:rPr>
        <w:t xml:space="preserve">Принята радиальная схема распределения на напряжении 0,4 кВ: вводно-распределительное устройство склада с автоматическим вводом резерва для потребителей I категории, от него — фидеры технологических групп (приёмный конвейер, весовое хозяйство, упаковка и маркировка, зарядная станция штабелёров, освещение, электрообогрев весовых приямков).</w:t>
      </w:r>
    </w:p>
    <w:p>
      <w:r>
        <w:rPr>
          <w:sz w:val="20"/>
        </w:rPr>
        <w:t xml:space="preserve">Обоснование: технологические электроприёмники склада маломощны и не имеют приводов единичной мощностью 100 кВт и выше, поэтому распределение выполняется на одном уровне напряжения. Автоматический ввод резерва предусматривается для систем автоматизации, весоизмерения и промышленного телевидения, для которых Приложением №5 к ТЗ установлена I категория надёжности с источниками бесперебойного питания.</w:t>
      </w:r>
    </w:p>
    <w:p>
      <w:r>
        <w:rPr>
          <w:sz w:val="20"/>
        </w:rPr>
        <w:t xml:space="preserve">Источники бесперебойного питания принимаются двойного преобразования с автоматическим байпасом и сетевыми платами с поддержкой SNMP: для систем автоматизации — с временем автономной работы не менее 10 мин, для системы весоизмерения — не менее 20 мин (Приложение №5 к ТЗ).</w:t>
      </w:r>
    </w:p>
    <w:p>
      <w:pPr>
        <w:pStyle w:val="Heading2"/>
      </w:pPr>
      <w:r>
        <w:rPr>
          <w:b/>
          <w:sz w:val="24"/>
        </w:rPr>
        <w:t xml:space="preserve">3.1 Основные решения и их обоснование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0"/>
        <w:gridCol w:w="5554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Решение</w:t>
            </w:r>
          </w:p>
        </w:tc>
        <w:tc>
          <w:tcPr>
            <w:tcW w:w="55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Питание на напряжении 0,4 кВ от подстанции корпуса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Приводов единичной мощностью 100 кВт и выше в лоте нет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Вводно-распределительное устройство с автоматическим вводом резерва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I категория для систем автоматизации, весоизмерения и промышленного телевидения (Приложение №5 к ТЗ)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Раздельные фидеры технологических групп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Локализация отказов; независимое обслуживание приёмного тракта, весового хозяйства и зарядной станции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Источники бесперебойного питания с байпасом и мониторингом по SNMP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Приложение №5 к ТЗ: не менее 10 мин для систем автоматизации, не менее 20 мин для весоизмерения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Электрообогрев весовых приямков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Условия площадки: температура наиболее холодной пятидневки минус 34 °С; стабильность показаний весового оборудования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Электрические нагрузки</w:t>
      </w:r>
    </w:p>
    <w:p>
      <w:pPr>
        <w:pStyle w:val="Heading2"/>
      </w:pPr>
      <w:r>
        <w:rPr>
          <w:b/>
          <w:sz w:val="24"/>
        </w:rPr>
        <w:t xml:space="preserve">4.1 Основание расчёта и стадия достоверности</w:t>
      </w:r>
    </w:p>
    <w:p>
      <w:r>
        <w:rPr>
          <w:sz w:val="20"/>
        </w:rPr>
        <w:t xml:space="preserve">Расчёт электрических нагрузок выполняется для запроса технических условий и для предварительного выбора трансформаторной мощности, аппаратов и проводников. Основание — нормированные исходными данными Заказчика мощности электроприёмников, перечень оборудования лота и расчётная модель проекта в части не нормированных исходными данными потребителей.</w:t>
      </w:r>
    </w:p>
    <w:p>
      <w:r>
        <w:rPr>
          <w:sz w:val="20"/>
        </w:rPr>
        <w:t xml:space="preserve">Значения разделены по достоверности: нормированные исходными данными Заказчика принимаются без изменения; полученные расчётом Исполнителя приводятся с указанием расчётного основания; оценочные значения приводятся диапазоном и помечены как ориентировочные. Мощности, не заданные ни исходными данными, ни расчётом, отнесены к уточнению по техническим предложениям изготовителей.</w:t>
      </w:r>
    </w:p>
    <w:p>
      <w:r>
        <w:rPr>
          <w:color w:val="666666"/>
          <w:sz w:val="17"/>
        </w:rPr>
        <w:t xml:space="preserve">Источник: ТЗ на БИ ред. 4.1 (п. 1.3 — базис размещения, состав БИ по Лоту №4, п. 6.2 — границы); Приложение №3 к ТЗ; Приложение №5 к ТЗ (весоизмерение, электропитание систем автоматизации); расчётная модель КВАНТ (сводная нагрузка комплекса)</w:t>
      </w:r>
    </w:p>
    <w:p>
      <w:pPr>
        <w:pStyle w:val="Heading2"/>
      </w:pPr>
      <w:r>
        <w:rPr>
          <w:b/>
          <w:sz w:val="24"/>
        </w:rPr>
        <w:t xml:space="preserve">4.2 Электроприёмники, определённые исходными данными</w:t>
      </w:r>
    </w:p>
    <w:p>
      <w:r>
        <w:rPr>
          <w:sz w:val="20"/>
        </w:rPr>
        <w:t xml:space="preserve">Ниже приведены мощности электроприёмников лота, определённые исходными данными Заказчика и расчётом; они приняты в качестве основы для расчёта нагрузок.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200"/>
        <w:gridCol w:w="3000"/>
        <w:gridCol w:w="2154"/>
      </w:tblGrid>
      <w:tr>
        <w:trPr>
          <w:tblHeader/>
          <w:cantSplit/>
        </w:trPr>
        <w:tc>
          <w:tcPr>
            <w:tcW w:w="420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 (группа)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Мощность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Зарядная станция штабелёров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2–3 поста по 10–20 кВт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Приёмный конвейер, весовое хозяйство, упаковка и маркировка, системы автоматизации, весоизмерения и промышленного телевидения, освещение, электрообогрев весовых приямков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Суммарно определяется по предложениям изготовителей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Установленная мощность склада (оценка)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100–200 кВт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Средняя нагрузка склада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≈0,08 МВт; годовое потребление ≈0,7 млн кВт·ч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Расчёт КВАНТ, сводный блок электрических нагрузок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Сводная таблица электроприёмников по перечню оборудования</w:t>
      </w:r>
    </w:p>
    <w:p>
      <w:r>
        <w:rPr>
          <w:sz w:val="20"/>
        </w:rPr>
        <w:t xml:space="preserve">Таблица построена по перечню основного и вспомогательного оборудования лота. Для позиций, мощность которых исходными данными не задана, значение определяется по техническим предложениям изготовителей после согласования перечня оборудования. Категории надёжности и режимы работы приведены предварительно по назначению оборудования; окончательное категорирование выполняется протоколом с Заказчиком.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50"/>
        <w:gridCol w:w="1350"/>
        <w:gridCol w:w="1850"/>
        <w:gridCol w:w="1350"/>
        <w:gridCol w:w="950"/>
        <w:gridCol w:w="1604"/>
      </w:tblGrid>
      <w:tr>
        <w:trPr>
          <w:tblHeader/>
          <w:cantSplit/>
        </w:trPr>
        <w:tc>
          <w:tcPr>
            <w:tcW w:w="225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0" w:type="dxa"/>
            <w:shd w:val="clear" w:fill="EFEFEF"/>
          </w:tcPr>
          <w:p>
            <w:r>
              <w:rPr>
                <w:b/>
                <w:sz w:val="15"/>
              </w:rPr>
              <w:t xml:space="preserve">Установленная мощность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Режим работы</w:t>
            </w:r>
          </w:p>
        </w:tc>
        <w:tc>
          <w:tcPr>
            <w:tcW w:w="9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16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Упаковка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Оборудование для защитной упаковки медных катодов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графику отгрузки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Маркировка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Оборудование для маркировки и подготовки к транспортировке пакетов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графику отгрузки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Учёт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графику приёмки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Отгрузка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Оборудование отгрузки партий в ж/д и автомобильный транспорт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графику отгрузки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Складирование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графику приёмки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</w:tbl>
    <w:p>
      <w:r>
        <w:rPr>
          <w:color w:val="666666"/>
          <w:sz w:val="17"/>
        </w:rPr>
        <w:t xml:space="preserve">Источник: Перечень основного и вспомогательного оборудования лота (ИД ч.1 табл. 24, ИД ч.2 табл. 4.1 и 4.2, ТЗ на БИ ред. 4.1); расчётная модель КВАНТ</w:t>
      </w:r>
    </w:p>
    <w:p>
      <w:r>
        <w:rPr>
          <w:sz w:val="20"/>
        </w:rPr>
        <w:t xml:space="preserve">Электроприёмники общего назначения — освещение, вентиляция и отопление помещений, электрообогрев приборов и трубопроводов, ремонтные потребители, подъёмно-транспортное оборудование — учитываются в расчёте нагрузок отдельными группами; их мощности определяются по компоновочным решениям и заданиям смежных разделов на стадии БИ.</w:t>
      </w:r>
    </w:p>
    <w:p>
      <w:pPr>
        <w:pStyle w:val="Heading2"/>
      </w:pPr>
      <w:r>
        <w:rPr>
          <w:b/>
          <w:sz w:val="24"/>
        </w:rPr>
        <w:t xml:space="preserve">4.4 Итоговые нагрузки лота и место в сводной нагрузке комплекса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400"/>
        <w:gridCol w:w="2600"/>
        <w:gridCol w:w="2354"/>
      </w:tblGrid>
      <w:tr>
        <w:trPr>
          <w:tblHeader/>
          <w:cantSplit/>
        </w:trPr>
        <w:tc>
          <w:tcPr>
            <w:tcW w:w="44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Установленная мощность склада (оценка)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100–200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Средняя нагрузка склада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≈0,08 МВт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КВАНТ, сводный блок нагрузок комплекса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Годовое потребление электроэнергии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≈0,7 млн кВт·ч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КВАНТ: 0,08 МВт × 8 760 ч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Коэффициент использования установленной мощности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0,4–0,8 (ориентировочно)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Согласование средней и установленной мощности</w:t>
            </w:r>
          </w:p>
        </w:tc>
      </w:tr>
    </w:tbl>
    <w:p>
      <w:r>
        <w:rPr>
          <w:sz w:val="20"/>
        </w:rPr>
        <w:t xml:space="preserve">Сводная нагрузка комплекса, формируемая для запроса технических условий: средняя нагрузка около 17,3 МВт, установленная около 21 МВт. Доминирующая составляющая — выпрямление электроэкстракции Лота №3 (около 15,7 МВт средних). Составляющие по лотам: цех обжига около 0,98 МВт, участок купороса около 0,19 МВт, отделение электроэкстракции 16,07 МВт, склад готовой продукции около 0,08 МВт.</w:t>
      </w:r>
    </w:p>
    <w:p>
      <w:r>
        <w:rPr>
          <w:color w:val="666666"/>
          <w:sz w:val="17"/>
        </w:rPr>
        <w:t xml:space="preserve">Источник: Расчётная модель КВАНТ, сводный блок электрических нагрузок комплекса; ИД ч.1 табл. 26; ИД ч.2 табл. 8.5</w:t>
      </w:r>
    </w:p>
    <w:p>
      <w:pPr>
        <w:pStyle w:val="Heading2"/>
      </w:pPr>
      <w:r>
        <w:rPr>
          <w:b/>
          <w:sz w:val="24"/>
        </w:rPr>
        <w:t xml:space="preserve">4.5 Категории надёжности электроснабжения</w:t>
      </w:r>
    </w:p>
    <w:p>
      <w:r>
        <w:rPr>
          <w:sz w:val="20"/>
        </w:rPr>
        <w:t xml:space="preserve">Разбивка нагрузок по категориям надёжности выполнена по ПУЭ (п. 1.2.17–1.2.21) исходя из последствий перерыва электроснабжения. Категорирование предварительное и утверждается протоколом с Заказчиком на стадии БИ.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600"/>
        <w:gridCol w:w="1700"/>
        <w:gridCol w:w="4054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электроприёмников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Системы автоматизации, весоизмерения и промышленного телевидения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Приложение №5 к ТЗ: источники бесперебойного питания не менее 10 мин для систем автоматизации и не менее 20 мин для весоизмерения, с автоматическим вводом резерва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Приёмный конвейер и весовое хозяйство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питания останавливает приёмку продукции с выходного конвейера катодосдирочной машины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Зарядная станция, освещение общего назначения, ремонтные потребители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питания допустим</w:t>
            </w:r>
          </w:p>
        </w:tc>
      </w:tr>
    </w:tbl>
    <w:p>
      <w:r>
        <w:rPr>
          <w:sz w:val="20"/>
        </w:rPr>
        <w:t xml:space="preserve">Электропитание систем автоматизации выполняется по требованиям Приложения №5 к ТЗ: напряжение 230 В, 50 Гц, стабилизированное; серверное оборудование и инженерные станции — по I категории особой группы с источниками бесперебойного питания двойного преобразования и автоматическим переключением на сеть через устройство автоматического ввода резерва; средний уровень — с преобразованием в 24 В постоянного тока и резервированием; полевые приборы — от индивидуальных источников питания, для сигналов аналогового и дискретного ввода-вывода предусматриваются отдельные блоки питания.</w:t>
      </w:r>
    </w:p>
    <w:p>
      <w:pPr>
        <w:pStyle w:val="Heading2"/>
      </w:pPr>
      <w:r>
        <w:rPr>
          <w:b/>
          <w:sz w:val="24"/>
        </w:rPr>
        <w:t xml:space="preserve">4.6 Пусковые токи и коэффициенты одновременности</w:t>
      </w:r>
    </w:p>
    <w:p>
      <w:r>
        <w:rPr>
          <w:sz w:val="20"/>
        </w:rPr>
        <w:t xml:space="preserve">Приводов единичной мощностью 100 кВт и выше в лоте нет; каталожные пусковые характеристики крупных приводов не приводятся. Пусковые токи и коэффициенты одновременности электроприёмников определяются на детальном этапе по данным изготовителей комплектного оборудования.</w:t>
      </w:r>
    </w:p>
    <w:p>
      <w:r>
        <w:rPr>
          <w:sz w:val="20"/>
        </w:rPr>
        <w:t xml:space="preserve">Коэффициенты спроса и одновременности для расчёта нагрузок принимаются по группам электроприёмников; принятые значения приведены в разделе 6 и помечены как ориентировочные. Уточнение выполняется по утверждённой сводной таблице электроприёмников и данным изготовителей.</w:t>
      </w:r>
    </w:p>
    <w:p>
      <w:pPr>
        <w:pStyle w:val="Heading1"/>
      </w:pPr>
      <w:r>
        <w:rPr>
          <w:b/>
          <w:sz w:val="28"/>
        </w:rPr>
        <w:t xml:space="preserve">5. Компенсация реактивной мощности</w:t>
      </w:r>
    </w:p>
    <w:p>
      <w:r>
        <w:rPr>
          <w:sz w:val="20"/>
        </w:rPr>
        <w:t xml:space="preserve">Отдельные установки компенсации реактивной мощности предварительно не предусматриваются: нагрузка склада мелкая, доля двигательной нагрузки невелика. Компенсация выполняется на трансформаторной подстанции корпуса, вне границ поставки Лота №4.</w:t>
      </w:r>
    </w:p>
    <w:p>
      <w:r>
        <w:rPr>
          <w:sz w:val="20"/>
        </w:rPr>
        <w:t xml:space="preserve">При подтверждении по предложениям изготовителей значительной доли нелинейной нагрузки (зарядные устройства тяговых аккумуляторов, преобразователи приводов, источники бесперебойного питания) предусматриваются меры по ограничению высших гармоник — устройства с корректором коэффициента мощности либо фильтры на вводе; необходимость определяется расчётом сети на стадии БИ.</w:t>
      </w:r>
    </w:p>
    <w:p>
      <w:pPr>
        <w:pStyle w:val="Heading1"/>
      </w:pPr>
      <w:r>
        <w:rPr>
          <w:b/>
          <w:sz w:val="28"/>
        </w:rPr>
        <w:t xml:space="preserve">6. Мощности сетевых и трансформаторных объектов</w:t>
      </w:r>
    </w:p>
    <w:p>
      <w:r>
        <w:rPr>
          <w:sz w:val="20"/>
        </w:rPr>
        <w:t xml:space="preserve">Оценка выполнена по установленной мощности электроприёмников с применением коэффициентов спроса и коэффициента мощности. Коэффициенты приняты ориентировочно: сводная таблица электроприёмников с фактическими коэффициентами формируется после согласования перечня оборудования и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200"/>
        <w:gridCol w:w="2600"/>
        <w:gridCol w:w="2554"/>
      </w:tblGrid>
      <w:tr>
        <w:trPr>
          <w:tblHeader/>
          <w:cantSplit/>
        </w:trPr>
        <w:tc>
          <w:tcPr>
            <w:tcW w:w="42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Установленная мощность склада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100–200 кВт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Раздел 4 настоящего документа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использования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0,4–0,8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Согласование средней и установленной мощности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мощности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0,85 (принят ориентировочно)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Уточняется по данным изготовителей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Расчётная полная мощность склада (вклад в нагрузку подстанции корпуса)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ориентировочно 60–120 кВ·А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Расчёт по принятым коэффициентам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Трансформаторная подстанция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В границы поставки Лота №4 не входит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ТЗ на БИ ред. 4.1, границы Лота №4</w:t>
            </w:r>
          </w:p>
        </w:tc>
      </w:tr>
    </w:tbl>
    <w:p>
      <w:r>
        <w:rPr>
          <w:sz w:val="20"/>
        </w:rPr>
        <w:t xml:space="preserve">Значения приведены как исходные данные для подстанции корпуса склада и для проверки резерва мощности существующих подстанций в резервном сценарии размещения. Коэффициенты приняты ориентировочно и уточняются по спецификации оборудования после получения предложений изготовителей.</w:t>
      </w:r>
    </w:p>
    <w:p>
      <w:r>
        <w:rPr>
          <w:sz w:val="20"/>
        </w:rPr>
        <w:t xml:space="preserve">Требования к трансформаторным объектам: сухие трансформаторы или трансформаторы с негорючим заполнением при размещении в здании; исполнение по условиям среды помещения; контроль температуры обмоток с выводом сигналов в систему автоматизации; учёт электроэнергии на вводах в объёме требований Заказчика.</w:t>
      </w:r>
    </w:p>
    <w:p>
      <w:pPr>
        <w:pStyle w:val="Heading1"/>
      </w:pPr>
      <w:r>
        <w:rPr>
          <w:b/>
          <w:sz w:val="28"/>
        </w:rPr>
        <w:t xml:space="preserve">7. Принципиальные решения по линиям электропередачи и выбор сечений</w:t>
      </w:r>
    </w:p>
    <w:p>
      <w:r>
        <w:rPr>
          <w:sz w:val="20"/>
        </w:rPr>
        <w:t xml:space="preserve">Воздушные линии в границах поставки лота не предусматриваются: распределение электроэнергии выполняется кабельными линиями внутри здания и по кабельным сооружениям площадки. Наружные линии до границы поставки относятся к разделу генерального проектировщика.</w:t>
      </w:r>
    </w:p>
    <w:p>
      <w:pPr>
        <w:pStyle w:val="Heading2"/>
      </w:pPr>
      <w:r>
        <w:rPr>
          <w:b/>
          <w:sz w:val="24"/>
        </w:rPr>
        <w:t xml:space="preserve">7.1 Требования к кабельным линиям</w:t>
      </w:r>
    </w:p>
    <w:p>
      <w:r>
        <w:rPr>
          <w:sz w:val="20"/>
        </w:rPr>
        <w:t xml:space="preserve">— Кабели с медными жилами; изоляция и оболочка, не распространяющие горение, с пониженным дымогазовыделением.</w:t>
      </w:r>
    </w:p>
    <w:p>
      <w:r>
        <w:rPr>
          <w:sz w:val="20"/>
        </w:rPr>
        <w:t xml:space="preserve">— Прокладка по кабельным конструкциям склада и в полу зоны приёмки; в зоне работы автопогрузчиков-штабелёров трассы защищаются от механических повреждений.</w:t>
      </w:r>
    </w:p>
    <w:p>
      <w:r>
        <w:rPr>
          <w:sz w:val="20"/>
        </w:rPr>
        <w:t xml:space="preserve">— Кабели систем автоматизации, весоизмерения и промышленного телевидения прокладываются отдельно от силовых; линии связи выполняются одномодовым оптическим кабелем с разъёмами SC либо витой парой (Приложение №5 к ТЗ).</w:t>
      </w:r>
    </w:p>
    <w:p>
      <w:r>
        <w:rPr>
          <w:sz w:val="20"/>
        </w:rPr>
        <w:t xml:space="preserve">— Кабельные вводы в шкафы — через герметичные сальники снизу; шкафы устанавливаются на цоколе (Приложение №5 к ТЗ).</w:t>
      </w:r>
    </w:p>
    <w:p>
      <w:pPr>
        <w:pStyle w:val="Heading2"/>
      </w:pPr>
      <w:r>
        <w:rPr>
          <w:b/>
          <w:sz w:val="24"/>
        </w:rPr>
        <w:t xml:space="preserve">7.2 Порядок предварительного выбора сечений</w:t>
      </w:r>
    </w:p>
    <w:p>
      <w:r>
        <w:rPr>
          <w:sz w:val="20"/>
        </w:rPr>
        <w:t xml:space="preserve">Сечения основных питающих кабелей выбираются последовательно по следующим условиям: по длительно допустимому току с учётом способа прокладки, числа совместно проложенных кабелей и расчётной температуры среды; по допустимой потере напряжения в нормальном режиме и при пуске наибольшего электродвигателя; по термической стойкости к току короткого замыкания (после выполнения расчёта раздела 8); по условию срабатывания защиты при однофазном коротком замыкании в сети 0,4 кВ; по механической прочности.</w:t>
      </w:r>
    </w:p>
    <w:p>
      <w:r>
        <w:rPr>
          <w:sz w:val="20"/>
        </w:rPr>
        <w:t xml:space="preserve">Расчётный ток линии определяется по установленной мощности с учётом коэффициента мощности и коэффициента полезного действия электроприёмника. Значения коэффициентов на настоящей стадии приняты ориентировочно и уточняются по данным изготовителей.</w:t>
      </w:r>
    </w:p>
    <w:p>
      <w:pPr>
        <w:pStyle w:val="Heading2"/>
      </w:pPr>
      <w:r>
        <w:rPr>
          <w:b/>
          <w:sz w:val="24"/>
        </w:rPr>
        <w:t xml:space="preserve">7.3 Основные питающие линии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2000"/>
        <w:gridCol w:w="1150"/>
        <w:gridCol w:w="2000"/>
        <w:gridCol w:w="180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Линия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Нагрузка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Напряжение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Расчётный ток (предварительно)</w:t>
            </w:r>
          </w:p>
        </w:tc>
        <w:tc>
          <w:tcPr>
            <w:tcW w:w="180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Ввод на вводно-распределительное устройство склада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Расчётная нагрузка 50–100 кВт (ориентировочно)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85–170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Два ввода с автоматическим вводом резерва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зарядной станции штабелёров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20–60 кВт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до 100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Число постов уточняется по парку техники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Линии технологических групп (приёмный конвейер, весовое хозяйство, упаковка)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По группам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Определяется сводной таблицей электроприёмников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Линии питания источников бесперебойного питания систем автоматизации и весоизмерения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По комплектации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Автоматический ввод резерва до источника</w:t>
            </w:r>
          </w:p>
        </w:tc>
      </w:tr>
    </w:tbl>
    <w:p>
      <w:r>
        <w:rPr>
          <w:sz w:val="20"/>
        </w:rPr>
        <w:t xml:space="preserve">Приведённые токи предварительные: они получены по установленной мощности и принятым ориентировочно коэффициентам. Сечения кабелей определяются после утверждения сводной таблицы электроприёмников и получения технических условий; кабельные журналы и планы прокладки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8. Расчёт токов короткого замыкания</w:t>
      </w:r>
    </w:p>
    <w:p>
      <w:r>
        <w:rPr>
          <w:sz w:val="20"/>
        </w:rPr>
        <w:t xml:space="preserve">Расчёт выполняется в объёме, необходимом для предварительного выбора оборудования. Исходные данные, требуемые для расчёта: мощность (ток) короткого замыкания в точке присоединения по техническим условиям сетевой организации; параметры силовых трансформаторов; длины, сечения и способ прокладки питающих линий; параметры электродвигателей, участвующих в подпитке места короткого замыкания.</w:t>
      </w:r>
    </w:p>
    <w:p>
      <w:r>
        <w:rPr>
          <w:sz w:val="20"/>
        </w:rPr>
        <w:t xml:space="preserve">На момент выпуска настоящей ревизии технические условия не получены, поэтому мощность короткого замыкания в точке присоединения не задана. Расчёт выполняется после её получения; в настоящем документе зафиксирован его объём.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Расчётные точки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Шины распределительного устройства высшего напряжения, шины 0,4 кВ подстанции, концы основных питающих линий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Определяемые величины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Начальное действующее значение периодической составляющей тока трёхфазного короткого замыкания, ударный ток, установившийся ток; для сети 0,4 кВ — ток однофазного короткого замыкания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Проверяемое оборудование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Коммутационные аппараты — по отключающей способности и электродинамической стойкости; проводники и шины — по термической стойкости; аппараты защиты — по чувствительности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Учёт подпитки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От электродвигателей напряжением выше 1 кВ и от синхронных машин площадки — по данным технических условий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Результат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Предварительный выбор аппаратов и проводников; исходные данные для задания на релейную защиту</w:t>
            </w:r>
          </w:p>
        </w:tc>
      </w:tr>
    </w:tbl>
    <w:p>
      <w:r>
        <w:rPr>
          <w:sz w:val="20"/>
        </w:rPr>
        <w:t xml:space="preserve">Расчёт уставок релейной защиты, карты селективности и проверка чувствительности защит в полном объёме относятся к детальному этапу проектирования.</w:t>
      </w:r>
    </w:p>
    <w:p>
      <w:pPr>
        <w:pStyle w:val="Heading1"/>
      </w:pPr>
      <w:r>
        <w:rPr>
          <w:b/>
          <w:sz w:val="28"/>
        </w:rPr>
        <w:t xml:space="preserve">9. Заземление, уравнивание потенциалов и молниезащита</w:t>
      </w:r>
    </w:p>
    <w:p>
      <w:r>
        <w:rPr>
          <w:sz w:val="20"/>
        </w:rPr>
        <w:t xml:space="preserve">Система заземления сети 0,4 кВ — TN-S; выполняется основная система уравнивания потенциалов с присоединением металлических конструкций склада, стеллажного оборудования и кабельных конструкций.</w:t>
      </w:r>
    </w:p>
    <w:p>
      <w:r>
        <w:rPr>
          <w:sz w:val="20"/>
        </w:rPr>
        <w:t xml:space="preserve">Весовое оборудование, шкафы систем автоматизации и весоизмерения заземляются отдельными проводниками; для тензометрических каналов предусматриваются меры защиты от помех и выравнивание потенциалов между грузоприёмным устройством и фундаментом.</w:t>
      </w:r>
    </w:p>
    <w:p>
      <w:r>
        <w:rPr>
          <w:sz w:val="20"/>
        </w:rPr>
        <w:t xml:space="preserve">Молниезащита корпуса склада относится к разделу генерального проектировщика; в настоящем документе выдаются требования к заземлению оборудования лота и к присоединению его к заземляющему устройству здания.</w:t>
      </w:r>
    </w:p>
    <w:p>
      <w:r>
        <w:rPr>
          <w:sz w:val="20"/>
        </w:rPr>
        <w:t xml:space="preserve">Тип заземлителя определяется по удельному сопротивлению грунтов на основании инженерных изысканий и относится к детальному этапу проектирования.</w:t>
      </w:r>
    </w:p>
    <w:p>
      <w:r>
        <w:rPr>
          <w:sz w:val="20"/>
        </w:rPr>
        <w:t xml:space="preserve">Принципиальная схема заземления и молниезащиты приводится в составе настоящего документа и компоновочных решений лота; рабочие схемы сеток заземления и молниеприёмных устройств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10. Электрическое освещение</w:t>
      </w:r>
    </w:p>
    <w:p>
      <w:r>
        <w:rPr>
          <w:sz w:val="20"/>
        </w:rPr>
        <w:t xml:space="preserve">Предусматриваются рабочее, аварийное (освещение безопасности и эвакуационное) и ремонтное освещение; нормируемая освещённость складской зоны с автоматической техникой, зон весового хозяйства и операторских — по СП 52.13330.</w:t>
      </w:r>
    </w:p>
    <w:p>
      <w:r>
        <w:rPr>
          <w:sz w:val="20"/>
        </w:rPr>
        <w:t xml:space="preserve">Для зон работы систем машинного зрения, сканеров маркировки и систем позиционирования требуется стабильная освещённость с ограничением коэффициента пульсации; конкретные параметры (уровень, спектр, отсутствие засветок) принимаются по требованиям изготовителей систем позиционирования и уточняются по их предложениям.</w:t>
      </w:r>
    </w:p>
    <w:p>
      <w:r>
        <w:rPr>
          <w:sz w:val="20"/>
        </w:rPr>
        <w:t xml:space="preserve">Аварийное освещение относится к I категории надёжности. Зоны эвакуационного освещения — пути эвакуации, зоны у ворот отгрузки, проезды автопогрузчиков-штабелёров.</w:t>
      </w:r>
    </w:p>
    <w:p>
      <w:r>
        <w:rPr>
          <w:sz w:val="20"/>
        </w:rPr>
        <w:t xml:space="preserve">Светотехнический расчёт и выбор типов светильников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11. Взрывоопасные зоны и исполнение электрооборудования</w:t>
      </w:r>
    </w:p>
    <w:p>
      <w:r>
        <w:rPr>
          <w:sz w:val="20"/>
        </w:rPr>
        <w:t xml:space="preserve">Взрывоопасные зоны технологическим процессом склада не образуются: обращаемый продукт — катодная медь, негорючий материал; категория помещений по пожарной опасности ожидаемо Д, что подтверждается расчётом в составе проектной документации.</w:t>
      </w:r>
    </w:p>
    <w:p>
      <w:r>
        <w:rPr>
          <w:sz w:val="20"/>
        </w:rPr>
        <w:t xml:space="preserve">Зарядная станция штабелёров при применении литий-ионных тяговых аккумуляторов водородовыделения не даёт, класс взрывоопасной зоны не назначается. При замене типа аккумуляторов на свинцово-кислотные для помещения зарядной назначаются взрывоопасная зона и вентиляция по ПУЭ, а электрооборудование зарядной принимается во взрывозащищённом исполнении.</w:t>
      </w:r>
    </w:p>
    <w:p>
      <w:r>
        <w:rPr>
          <w:sz w:val="20"/>
        </w:rPr>
        <w:t xml:space="preserve">Тип тяговых аккумуляторов подтверждается предложениями изготовителей складской техники; решение влияет на объёмно-планировочные решения зарядной, вентиляцию и исполнение электрооборудования.</w:t>
      </w:r>
    </w:p>
    <w:p>
      <w:pPr>
        <w:pStyle w:val="Heading1"/>
      </w:pPr>
      <w:r>
        <w:rPr>
          <w:b/>
          <w:sz w:val="28"/>
        </w:rPr>
        <w:t xml:space="preserve">12. Предварительный перечень основного электрооборудования</w:t>
      </w:r>
    </w:p>
    <w:p>
      <w:r>
        <w:rPr>
          <w:sz w:val="20"/>
        </w:rPr>
        <w:t xml:space="preserve">Перечень предварительный: он определяет состав основного электрооборудования, необходимый для запроса технико-коммерческих предложений и для оценки стоимости поставки. Технические характеристики уточняются по утверждённой сводной таблице электроприёмников, результатам расчёта токов короткого замыкания и техническим предложениям изготовителей. Кабельная продукция, кабельные конструкции и светильники относятся к материалам и специфицируются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3900"/>
        <w:gridCol w:w="1100"/>
        <w:gridCol w:w="18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и предварительная характеристика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Вводно-распределительное устройство склада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Два ввода 0,4 кВ с автоматическим вводом резерва; отходящие линии технологических групп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Учёт электроэнергии по требованиям Заказчика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Распределительные щиты технологических групп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Приёмный конвейер, весовое хозяйство, упаковка и маркировка, освещение, электрообогрев весовых приямков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Зарядная станция штабелёров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2–3 поста по 10–20 кВт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2–3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Тип тяговых аккумуляторов подтверждается предложениями изготовителей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Источники бесперебойного питания систем автоматизации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Двойного преобразования, автономная работа не менее 10 мин, автоматический байпас, сетевые платы с поддержкой SNMP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 автоматизации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Приложение №5 к ТЗ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Источники бесперебойного питания системы весоизмерения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Двойного преобразования, автономная работа не менее 20 мин, автоматический байпас, сетевые платы с поддержкой SNMP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точкам взвешивания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Приложение №5 к ТЗ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Щиты электрообогрева весовых приямков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С терморегулированием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числу приямков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Условия площадки: температура наиболее холодной пятидневки минус 34 °С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12.1 Электрооборудование длительного цикла изготовления</w:t>
      </w:r>
    </w:p>
    <w:p>
      <w:r>
        <w:rPr>
          <w:sz w:val="20"/>
        </w:rPr>
        <w:t xml:space="preserve">Электрооборудования длительного цикла изготовления в составе лота не выявлено: вводно-распределительное устройство, распределительные щиты, источники бесперебойного питания и зарядные устройства относятся к серийной продукции. Сроки поставки подтверждаются техническими предложениями изготовителей.</w:t>
      </w:r>
    </w:p>
    <w:p>
      <w:pPr>
        <w:pStyle w:val="Heading1"/>
      </w:pPr>
      <w:r>
        <w:rPr>
          <w:b/>
          <w:sz w:val="28"/>
        </w:rPr>
        <w:t xml:space="preserve">13. Опросные листы на основное электротехническое оборудование</w:t>
      </w:r>
    </w:p>
    <w:p>
      <w:r>
        <w:rPr>
          <w:sz w:val="20"/>
        </w:rPr>
        <w:t xml:space="preserve">Комплект опросных листов выдаётся на основное электротехническое оборудование лота. Опросные листы на технологическое оборудование выпускаются отдельным альбомом; настоящий раздел определяет состав электротехнической части.</w:t>
      </w:r>
    </w:p>
    <w:p>
      <w:r>
        <w:rPr>
          <w:sz w:val="20"/>
        </w:rPr>
        <w:t xml:space="preserve">Перечень опросных листов:</w:t>
      </w:r>
    </w:p>
    <w:p>
      <w:r>
        <w:rPr>
          <w:sz w:val="20"/>
        </w:rPr>
        <w:t xml:space="preserve">— Вводно-распределительное устройство склада</w:t>
      </w:r>
    </w:p>
    <w:p>
      <w:r>
        <w:rPr>
          <w:sz w:val="20"/>
        </w:rPr>
        <w:t xml:space="preserve">— Источник бесперебойного питания систем автоматизации</w:t>
      </w:r>
    </w:p>
    <w:p>
      <w:r>
        <w:rPr>
          <w:sz w:val="20"/>
        </w:rPr>
        <w:t xml:space="preserve">— Источник бесперебойного питания системы весоизмерения</w:t>
      </w:r>
    </w:p>
    <w:p>
      <w:r>
        <w:rPr>
          <w:sz w:val="20"/>
        </w:rPr>
        <w:t xml:space="preserve">— Зарядная станция штабелёров</w:t>
      </w:r>
    </w:p>
    <w:p>
      <w:r>
        <w:rPr>
          <w:sz w:val="20"/>
        </w:rPr>
        <w:t xml:space="preserve">Состав данных опросного листа:</w:t>
      </w:r>
    </w:p>
    <w:p>
      <w:r>
        <w:rPr>
          <w:sz w:val="20"/>
        </w:rPr>
        <w:t xml:space="preserve">— назначение, место установки и характеристика окружающей среды (температура, запылённость, химическая активность, наличие взрывоопасной зоны)</w:t>
      </w:r>
    </w:p>
    <w:p>
      <w:r>
        <w:rPr>
          <w:sz w:val="20"/>
        </w:rPr>
        <w:t xml:space="preserve">— номинальное напряжение, число фаз и частота; для трансформаторов — схема и группа соединения обмоток, напряжение короткого замыкания</w:t>
      </w:r>
    </w:p>
    <w:p>
      <w:r>
        <w:rPr>
          <w:sz w:val="20"/>
        </w:rPr>
        <w:t xml:space="preserve">— номинальная мощность (ток), режим работы, допустимая перегрузка</w:t>
      </w:r>
    </w:p>
    <w:p>
      <w:r>
        <w:rPr>
          <w:sz w:val="20"/>
        </w:rPr>
        <w:t xml:space="preserve">— расчётный ток короткого замыкания в точке установки; требования к электродинамической и термической стойкости, отключающей способности</w:t>
      </w:r>
    </w:p>
    <w:p>
      <w:r>
        <w:rPr>
          <w:sz w:val="20"/>
        </w:rPr>
        <w:t xml:space="preserve">— степень защиты оболочки по ГОСТ 14254-2015, климатическое исполнение и категория размещения</w:t>
      </w:r>
    </w:p>
    <w:p>
      <w:r>
        <w:rPr>
          <w:sz w:val="20"/>
        </w:rPr>
        <w:t xml:space="preserve">— требования к системе заземления и к присоединению защитных проводников</w:t>
      </w:r>
    </w:p>
    <w:p>
      <w:r>
        <w:rPr>
          <w:sz w:val="20"/>
        </w:rPr>
        <w:t xml:space="preserve">— состав измерений, защит и сигнализации; интерфейс с системой автоматизации (протокол, состав передаваемых сигналов)</w:t>
      </w:r>
    </w:p>
    <w:p>
      <w:r>
        <w:rPr>
          <w:sz w:val="20"/>
        </w:rPr>
        <w:t xml:space="preserve">— габариты, масса, способ доставки и монтажа, требования к помещению</w:t>
      </w:r>
    </w:p>
    <w:p>
      <w:r>
        <w:rPr>
          <w:sz w:val="20"/>
        </w:rPr>
        <w:t xml:space="preserve">— комплектность поставки, запасные части на два года эксплуатации, шефмонтаж и пусконаладка, гарантийные обязательства</w:t>
      </w:r>
    </w:p>
    <w:p>
      <w:r>
        <w:rPr>
          <w:sz w:val="20"/>
        </w:rPr>
        <w:t xml:space="preserve">— подтверждение соответствия ТР ТС 004/2011 и ТР ТС 020/2011; срок изготовления и поставки</w:t>
      </w:r>
    </w:p>
    <w:p>
      <w:r>
        <w:rPr>
          <w:sz w:val="20"/>
        </w:rPr>
        <w:t xml:space="preserve">Опросные листы заполняются после согласования перечня основного электрооборудования и используются для запроса технико-коммерческих предложений. Позиции, не определённые на настоящей стадии, помечаются как уточняемые по техническим предложениям изготовителя.</w:t>
      </w:r>
    </w:p>
    <w:p>
      <w:pPr>
        <w:pStyle w:val="Heading1"/>
      </w:pPr>
      <w:r>
        <w:rPr>
          <w:b/>
          <w:sz w:val="28"/>
        </w:rPr>
        <w:t xml:space="preserve">14. Графическая часть и планы расположения</w:t>
      </w:r>
    </w:p>
    <w:p>
      <w:r>
        <w:rPr>
          <w:sz w:val="20"/>
        </w:rPr>
        <w:t xml:space="preserve">Состав графических материалов электротехнической части по лоту приведён ниже. Размещение основного электрооборудования и главные кабельные коридоры показываются в составе компоновочных решений; детальная трассировка кабелей, кабельные журналы и планы прокладки выполняются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и место выпуска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Однолинейная схема электроснабжения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Главные цепи 0,4 кВ склада; выпускается в составе БИ после утверждения сводной таблицы электроприёмников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Планы расположения электрооборудования и кабельных трасс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В составе компоновочных решений лота — ОВЭ75-БИ-Л4-КР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Схема комплекса технических средств систем автоматизации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Отдельный лист выпуска — ОВЭ75-БИ-Л4-АСУ</w:t>
            </w:r>
          </w:p>
        </w:tc>
      </w:tr>
    </w:tbl>
    <w:p>
      <w:r>
        <w:rPr>
          <w:sz w:val="20"/>
        </w:rPr>
        <w:t xml:space="preserve">Требования к размещению электротехнического оборудования: шкафы систем автоматизации не устанавливаются в помещениях электроустановок; силовое оборудование (преобразователи частоты и подобное) и оборудование систем автоматизации размещаются в разных шкафах; средства промышленной автоматизации размещаются на высоте до 1 700 мм от уровня обслуживания, чтобы исключить применение лестниц и стремянок (Приложение №5 к ТЗ).</w:t>
      </w:r>
    </w:p>
    <w:p>
      <w:pPr>
        <w:pStyle w:val="Heading1"/>
      </w:pPr>
      <w:r>
        <w:rPr>
          <w:b/>
          <w:sz w:val="28"/>
        </w:rPr>
        <w:t xml:space="preserve">15.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решения Заказчика, технических условий сетевой организации, данных инженерных изысканий либо технических предложений изготовителей. Каждая позиция закрывается до выдачи материалов на этап основных технических решений.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Протокол применимых на БИ пунктов Приложения №3 (объём электротехнического раздела) — подлежит согласованию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Тип тяговых аккумуляторов штабелёров (базово литий-ионные) — подтверждается по техническим предложениям изготовителей: определяет исполнение зарядной и вентиляцию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Технические условия на технологическое присоединение и точка подключения 0,4 кВ — запрашиваются Заказчиком по расчёту нагрузок настоящего документа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Требования к освещённости зон машинного зрения и сканеров — по предложениям изготовителей систем позиционирования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Точная установленная мощность склада — по спецификации оборудования после получения предложений изготовителей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ОВЭ75-БИ-Л4-ЭС · Электроснабжение и электрооборудование: однолинейные схемы, предварительный перечень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№4 «Склад готовой продукции»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ОВЭ75-БИ-Л4-ЭС · Электроснабжение и электрооборудование: однолинейные схемы, предварительный перечень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