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Общее по комплексу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Цифровая информационная модель стадии БИ: описание и состав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Отчёт «Описание ЦИМ» по Приложению №4 к техническому заданию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ОВЭ75-БИ-ОБ-ЦИМ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D-31, M-09, M-12.</w:t>
      </w:r>
    </w:p>
    <w:p>
      <w:pPr>
        <w:spacing w:before="200" w:after="80"/>
      </w:pPr>
      <w:r>
        <w:rPr>
          <w:rFonts w:ascii="Arial" w:hAnsi="Arial" w:cs="Arial"/>
          <w:b/>
          <w:sz w:val="20"/>
          <w:szCs w:val="20"/>
        </w:rPr>
        <w:t xml:space="preserve">Состав документа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1. Назначение и основание разработки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2. Статус модели и границы моделирования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3. Состав цифровой информационной модели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4. Уровень графической и информационной детализации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5. Инструментальная среда и порядок обмена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6. Контроль качества модели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7. Требования, выходящие за стадию Базового инжиниринга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8. Открытые позиции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Назначение и основание разработки</w:t>
      </w:r>
    </w:p>
    <w:p>
      <w:r>
        <w:rPr>
          <w:sz w:val="20"/>
        </w:rPr>
        <w:t xml:space="preserve">Настоящий отчёт составлен на цифровую информационную модель (ЦИМ) комплекса «обжиг — выщелачивание — электроэкстракция» производительностью 75 000 т катодной меди в год, разрабатываемую на стадии Базового инжиниринга. Отчёт передаётся Заказчику одновременно с моделями по акту приёма-передачи и описывает состав модели, уровень её проработки, применённую инструментальную среду, порядок обмена и применённые средства контроля качества в фактически выполненном объёме.</w:t>
      </w:r>
    </w:p>
    <w:p>
      <w:r>
        <w:rPr>
          <w:sz w:val="20"/>
        </w:rPr>
        <w:t xml:space="preserve">Основание разработки модели — техническое задание в части прочих условий: на этапе выполнения Базового инжиниринга разрабатывается и передаётся Заказчику модель технологического оборудования и технологического передела по требованиям Приложения №4; выпуск материалов предусмотрен отдельным этапом. Действующая редакция требований — техническое задание на ЦИМ, редакция 2 от 25.08.2026, с приложениями 1—6.</w:t>
      </w:r>
    </w:p>
    <w:p>
      <w:r>
        <w:rPr>
          <w:sz w:val="20"/>
        </w:rPr>
        <w:t xml:space="preserve">Ревизия 0 отчёта выпускается вместе с исходной библиотекой типов оборудования комплекса в формате IFC. Модели лотов с размещёнными элементами, сводная модель и результаты проверки коллизий выпускаются по мере выполнения этапа моделирования; отчёт переиздаётся очередной ревизией с фактическими данными по каждой выдаче.</w:t>
      </w:r>
    </w:p>
    <w:p>
      <w:pPr>
        <w:pStyle w:val="Heading2"/>
      </w:pPr>
      <w:r>
        <w:rPr>
          <w:b/>
          <w:sz w:val="24"/>
        </w:rPr>
        <w:t xml:space="preserve">Сокращения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700"/>
        <w:gridCol w:w="7654"/>
      </w:tblGrid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БИ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Базовый инжиниринг — стадия, на которой разрабатывается настоящая модель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ЦИМ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Цифровая информационная модель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LOD G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Уровень графической детализации элемента модели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LOI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Уровень информационной (атрибутивной) детализации элемента модели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ТХ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Технологические решения — раздел модели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ЭОМ, СС, АК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Электрооборудование и электроосвещение, слаботочные системы, автоматизация комплексная — разделы модели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ПД, РД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Проектная документация (стадия П) и рабочая документация (стадия Р)</w:t>
            </w:r>
          </w:p>
        </w:tc>
      </w:tr>
      <w:tr>
        <w:trPr>
          <w:cantSplit/>
        </w:trPr>
        <w:tc>
          <w:tcPr>
            <w:tcW w:w="1700" w:type="dxa"/>
            <w:shd w:val="clear" w:fill="F7F7F7"/>
          </w:tcPr>
          <w:p>
            <w:r>
              <w:rPr>
                <w:b/>
                <w:sz w:val="19"/>
              </w:rPr>
              <w:t xml:space="preserve">ТКП</w:t>
            </w:r>
          </w:p>
        </w:tc>
        <w:tc>
          <w:tcPr>
            <w:tcW w:w="7654" w:type="dxa"/>
          </w:tcPr>
          <w:p>
            <w:r>
              <w:rPr>
                <w:sz w:val="19"/>
              </w:rPr>
              <w:t xml:space="preserve">Технико-коммерческое предложение изготовителя оборудования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Соответствие отчёта требованиям к «Описанию ЦИМ»</w:t>
      </w:r>
    </w:p>
    <w:p>
      <w:r>
        <w:rPr>
          <w:sz w:val="20"/>
        </w:rPr>
        <w:t xml:space="preserve">Требования к содержанию отчёта установлены разделом «Требования к Описанию ЦИМ» технического задания на ЦИМ. Соответствие требований и разделов настоящего документа приведено в таблице.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400"/>
        <w:gridCol w:w="4954"/>
      </w:tblGrid>
      <w:tr>
        <w:trPr>
          <w:cantSplit/>
          <w:tblHeader/>
        </w:trPr>
        <w:tc>
          <w:tcPr>
            <w:tcW w:w="4400" w:type="dxa"/>
            <w:shd w:val="clear" w:fill="EFEFEF"/>
          </w:tcPr>
          <w:p>
            <w:r>
              <w:rPr>
                <w:b/>
                <w:sz w:val="17"/>
              </w:rPr>
              <w:t xml:space="preserve">Требование к содержанию отчёта</w:t>
            </w:r>
          </w:p>
        </w:tc>
        <w:tc>
          <w:tcPr>
            <w:tcW w:w="4954" w:type="dxa"/>
            <w:shd w:val="clear" w:fill="EFEFEF"/>
          </w:tcPr>
          <w:p>
            <w:r>
              <w:rPr>
                <w:b/>
                <w:sz w:val="17"/>
              </w:rPr>
              <w:t xml:space="preserve">Раздел настоящего документа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7"/>
              </w:rPr>
              <w:t xml:space="preserve">Описание модели: общая информация о сводной ЦИМ, системе координат, объёме разработанных ЦИМ</w:t>
            </w:r>
          </w:p>
        </w:tc>
        <w:tc>
          <w:tcPr>
            <w:tcW w:w="4954" w:type="dxa"/>
          </w:tcPr>
          <w:p>
            <w:r>
              <w:rPr>
                <w:sz w:val="17"/>
              </w:rPr>
              <w:t xml:space="preserve">Разделы «Назначение и основание разработки», «Статус модели и границы моделирования», «Система координат»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7"/>
              </w:rPr>
              <w:t xml:space="preserve">Описание структуры сводной модели</w:t>
            </w:r>
          </w:p>
        </w:tc>
        <w:tc>
          <w:tcPr>
            <w:tcW w:w="4954" w:type="dxa"/>
          </w:tcPr>
          <w:p>
            <w:r>
              <w:rPr>
                <w:sz w:val="17"/>
              </w:rPr>
              <w:t xml:space="preserve">Раздел «Состав цифровой информационной модели», подраздел «Структура моделей и файлов»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7"/>
              </w:rPr>
              <w:t xml:space="preserve">Состав ЦИМ, включая детализацию LOD и LOI по дисциплинам</w:t>
            </w:r>
          </w:p>
        </w:tc>
        <w:tc>
          <w:tcPr>
            <w:tcW w:w="4954" w:type="dxa"/>
          </w:tcPr>
          <w:p>
            <w:r>
              <w:rPr>
                <w:sz w:val="17"/>
              </w:rPr>
              <w:t xml:space="preserve">Раздел «Уровень графической и информационной детализации»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7"/>
              </w:rPr>
              <w:t xml:space="preserve">Перечень отклонений от технического задания</w:t>
            </w:r>
          </w:p>
        </w:tc>
        <w:tc>
          <w:tcPr>
            <w:tcW w:w="4954" w:type="dxa"/>
          </w:tcPr>
          <w:p>
            <w:r>
              <w:rPr>
                <w:sz w:val="17"/>
              </w:rPr>
              <w:t xml:space="preserve">Раздел «Требования, выходящие за стадию Базового инжиниринга»; раздел «Открытые позиции»</w:t>
            </w:r>
          </w:p>
        </w:tc>
      </w:tr>
      <w:tr>
        <w:trPr>
          <w:cantSplit/>
        </w:trPr>
        <w:tc>
          <w:tcPr>
            <w:tcW w:w="4400" w:type="dxa"/>
          </w:tcPr>
          <w:p>
            <w:r>
              <w:rPr>
                <w:sz w:val="17"/>
              </w:rPr>
              <w:t xml:space="preserve">Фактические сроки создания модели и объектов информации, форматы и инструменты работы с ними</w:t>
            </w:r>
          </w:p>
        </w:tc>
        <w:tc>
          <w:tcPr>
            <w:tcW w:w="4954" w:type="dxa"/>
          </w:tcPr>
          <w:p>
            <w:r>
              <w:rPr>
                <w:sz w:val="17"/>
              </w:rPr>
              <w:t xml:space="preserve">Разделы «Инструментальная среда и порядок обмена», «Сроки выполнения этапа»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№4 к техническому заданию — техническое задание на ЦИМ, редакция 2 от 25.08.2026, раздел «Требования к Описанию ЦИМ»; Техническое задание на выполнение Базового инжиниринга ред. 4.1 от 25.08.2026, раздел «Прочие условия».</w:t>
      </w:r>
    </w:p>
    <w:p>
      <w:pPr>
        <w:pStyle w:val="Heading1"/>
      </w:pPr>
      <w:r>
        <w:rPr>
          <w:b/>
          <w:sz w:val="28"/>
        </w:rPr>
        <w:t xml:space="preserve">Статус модели и границы моделирования</w:t>
      </w:r>
    </w:p>
    <w:p>
      <w:r>
        <w:rPr>
          <w:sz w:val="20"/>
        </w:rPr>
        <w:t xml:space="preserve">Этап разработки модели по действующей редакции требований — ЦИМ стадии «базовый инжиниринг». Целевое назначение модели, установленное таблицей целей разработки, — проверка согласованности проектных решений: автоматическая проверка коллизий и систематическое разрешение конфликтов геометрического пересечения элементов. Дополнительно модель применяется Исполнителем для выработки компоновочных решений и передаётся генеральному проектировщику как исходный материал последующих стадий.</w:t>
      </w:r>
    </w:p>
    <w:p>
      <w:r>
        <w:rPr>
          <w:sz w:val="20"/>
        </w:rPr>
        <w:t xml:space="preserve">Модель стадии БИ не является проектной ЦИМ стадии П: выпуск проектной и рабочей документации из модели, атрибутивные наборы стадий П и Р, строительные разделы и проверки коллизий стадии Р в объём Базового инжиниринга не входят. Перечень требований, отнесённых к последующим стадиям, приведён в соответствующем разделе настоящего документа.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54"/>
      </w:tblGrid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Объект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Комплекс «обжиг — выщелачивание — электроэкстракция» производительностью 75 000 т катодной меди в год, промплощадка г. Мончегорск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Стадия модели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ЦИМ стадии «базовый инжиниринг»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Цель разработки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Проверка согласованности проектных решений — автоматическая проверка коллизий и разрешение геометрических конфликтов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Границы моделирования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Технологическое оборудование и технологический передел лотов №1—№4; строительные разделы, генеральный план и внешние сети — вне границ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Разделы модели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ТХ — технологические решения; ЭОМ, СС, АК — электрооборудование, слаботочные системы, автоматизация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Формат обмена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IFC (допустимые версии 2.3.0.0, 4.0.2.1, 4.3 и более поздние)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Среда обмена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Среда общих данных Заказчика; выгрузка рабочих моделей — 1 раз в 4 недели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Выпуск материалов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Отдельным этапом календарного плана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№4 к техническому заданию — техническое задание на ЦИМ, редакция 2 от 25.08.2026, таблица целей разработки ЦИМ и общие требования к ЦИМ; перечень объектов и лотов — техническое задание ред. 4.1.</w:t>
      </w:r>
    </w:p>
    <w:p>
      <w:pPr>
        <w:pStyle w:val="Heading2"/>
      </w:pPr>
      <w:r>
        <w:rPr>
          <w:b/>
          <w:sz w:val="24"/>
        </w:rPr>
        <w:t xml:space="preserve">Охват элементов модели</w:t>
      </w:r>
    </w:p>
    <w:p>
      <w:r>
        <w:rPr>
          <w:sz w:val="20"/>
        </w:rPr>
        <w:t xml:space="preserve">Состав элементов, подлежащих моделированию на стадии БИ, установлен Приложением 1 к техническому заданию на ЦИМ (листы «Стадия БИ_ТХ» и «Стадия БИ_ЭОМ,СС,АК»). Элементы, не вошедшие в перечень, моделируются только в объёме, необходимом для проверки коллизий и компоновочных решений.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7354"/>
      </w:tblGrid>
      <w:tr>
        <w:trPr>
          <w:cantSplit/>
          <w:tblHeader/>
        </w:trPr>
        <w:tc>
          <w:tcPr>
            <w:tcW w:w="2000" w:type="dxa"/>
            <w:shd w:val="clear" w:fill="EFEFEF"/>
          </w:tcPr>
          <w:p>
            <w:r>
              <w:rPr>
                <w:b/>
                <w:sz w:val="17"/>
              </w:rPr>
              <w:t xml:space="preserve">Раздел модели</w:t>
            </w:r>
          </w:p>
        </w:tc>
        <w:tc>
          <w:tcPr>
            <w:tcW w:w="7354" w:type="dxa"/>
            <w:shd w:val="clear" w:fill="EFEFEF"/>
          </w:tcPr>
          <w:p>
            <w:r>
              <w:rPr>
                <w:b/>
                <w:sz w:val="17"/>
              </w:rPr>
              <w:t xml:space="preserve">Элементы, подлежащие моделированию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ТХ</w:t>
            </w:r>
          </w:p>
        </w:tc>
        <w:tc>
          <w:tcPr>
            <w:tcW w:w="7354" w:type="dxa"/>
          </w:tcPr>
          <w:p>
            <w:r>
              <w:rPr>
                <w:sz w:val="17"/>
              </w:rPr>
              <w:t xml:space="preserve">Газоходы диаметром от 400 мм и соединительные детали (при наличии); трубопроводы диаметром от 200 мм и соединительные детали (при наличии); оборудование технологическое; оборудование конвейерное; грузоподъёмные механизмы</w:t>
            </w:r>
          </w:p>
        </w:tc>
      </w:tr>
      <w:tr>
        <w:trPr>
          <w:cantSplit/>
        </w:trPr>
        <w:tc>
          <w:tcPr>
            <w:tcW w:w="2000" w:type="dxa"/>
          </w:tcPr>
          <w:p>
            <w:r>
              <w:rPr>
                <w:sz w:val="17"/>
              </w:rPr>
              <w:t xml:space="preserve">ЭОМ, СС, АК</w:t>
            </w:r>
          </w:p>
        </w:tc>
        <w:tc>
          <w:tcPr>
            <w:tcW w:w="7354" w:type="dxa"/>
          </w:tcPr>
          <w:p>
            <w:r>
              <w:rPr>
                <w:sz w:val="17"/>
              </w:rPr>
              <w:t xml:space="preserve">Шинопроводы; огнезащитные короба; щиты, шкафы и вводно-распределительные устройства</w:t>
            </w:r>
          </w:p>
        </w:tc>
      </w:tr>
    </w:tbl>
    <w:p>
      <w:r>
        <w:rPr>
          <w:sz w:val="20"/>
        </w:rPr>
        <w:t xml:space="preserve">Общие требования к построению модели: моделирование в масштабе 1:1 в метрической системе (мм, м², м³); разбивка элементов по этажам и уровням; не допускаются дублирование элементов, некорректные зазоры и пересечения, построение с округлением относительно документации; элементы формата IFC классифицируются по типам, категориям и классам объектов.</w:t>
      </w:r>
    </w:p>
    <w:p>
      <w:r>
        <w:rPr>
          <w:color w:val="666666"/>
          <w:sz w:val="17"/>
        </w:rPr>
        <w:t xml:space="preserve">Источник: Приложение №4 к техническому заданию — техническое задание на ЦИМ, редакция 2 от 25.08.2026, общие требования к ЦИМ; Приложение 1, листы стадии БИ.</w:t>
      </w:r>
    </w:p>
    <w:p>
      <w:pPr>
        <w:pStyle w:val="Heading2"/>
      </w:pPr>
      <w:r>
        <w:rPr>
          <w:b/>
          <w:sz w:val="24"/>
        </w:rPr>
        <w:t xml:space="preserve">Объекты моделирования по лотам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900"/>
        <w:gridCol w:w="4054"/>
        <w:gridCol w:w="1900"/>
        <w:gridCol w:w="1900"/>
      </w:tblGrid>
      <w:tr>
        <w:trPr>
          <w:cantSplit/>
          <w:tblHeader/>
        </w:trPr>
        <w:tc>
          <w:tcPr>
            <w:tcW w:w="600" w:type="dxa"/>
            <w:shd w:val="clear" w:fill="EFEFEF"/>
          </w:tcPr>
          <w:p>
            <w:r>
              <w:rPr>
                <w:b/>
                <w:sz w:val="16"/>
              </w:rPr>
              <w:t xml:space="preserve">Лот</w:t>
            </w:r>
          </w:p>
        </w:tc>
        <w:tc>
          <w:tcPr>
            <w:tcW w:w="900" w:type="dxa"/>
            <w:shd w:val="clear" w:fill="EFEFEF"/>
          </w:tcPr>
          <w:p>
            <w:r>
              <w:rPr>
                <w:b/>
                <w:sz w:val="16"/>
              </w:rPr>
              <w:t xml:space="preserve">Объект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 объекта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Вид работ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Разделы модели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>
                <w:sz w:val="16"/>
              </w:rPr>
              <w:t xml:space="preserve">№1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2.8.3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Цех обжига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Новое строительство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ТХ; ЭОМ, СС, АК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>
                <w:sz w:val="16"/>
              </w:rPr>
              <w:t xml:space="preserve">№2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2.8.5c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Гидрометаллургический цех, Участок получения медного и медно-никелевого купороса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Существующие здания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ТХ; ЭОМ, СС, АК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>
                <w:sz w:val="16"/>
              </w:rPr>
              <w:t xml:space="preserve">№3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2.8.5d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Гидрометаллургический цех, Отделение электроэкстракции меди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Существующие здания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ТХ; ЭОМ, СС, АК</w:t>
            </w:r>
          </w:p>
        </w:tc>
      </w:tr>
      <w:tr>
        <w:trPr>
          <w:cantSplit/>
        </w:trPr>
        <w:tc>
          <w:tcPr>
            <w:tcW w:w="600" w:type="dxa"/>
          </w:tcPr>
          <w:p>
            <w:r>
              <w:rPr>
                <w:sz w:val="16"/>
              </w:rPr>
              <w:t xml:space="preserve">№4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2.8.5e</w:t>
            </w:r>
          </w:p>
        </w:tc>
        <w:tc>
          <w:tcPr>
            <w:tcW w:w="4054" w:type="dxa"/>
          </w:tcPr>
          <w:p>
            <w:r>
              <w:rPr>
                <w:sz w:val="16"/>
              </w:rPr>
              <w:t xml:space="preserve">Гидрометаллургический цех, Склад готовой продукции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Существующие здания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ТХ; ЭОМ, СС, АК</w:t>
            </w:r>
          </w:p>
        </w:tc>
      </w:tr>
    </w:tbl>
    <w:p>
      <w:r>
        <w:rPr>
          <w:sz w:val="20"/>
        </w:rPr>
        <w:t xml:space="preserve">Модели разделяются по разделам проекта и корпусам: выполнение нескольких зданий в одной модели не допускается. Модели лотов №2, №3 и №4 размещаются в существующих зданиях Гидрометаллургического цеха и Цеха электролиза меди — для них строительной подосновой служат материалы обмеров, переданные Заказчиком в составе приложений №6 и №7 к техническому заданию; порядок объединения с моделями Генерального проектировщика подлежит согласованию.</w:t>
      </w:r>
    </w:p>
    <w:p>
      <w:r>
        <w:rPr>
          <w:color w:val="666666"/>
          <w:sz w:val="17"/>
        </w:rPr>
        <w:t xml:space="preserve">Источник: перечень объектов и лотов, приложения №6 и №7 к техническому заданию (листы фактических материалов существующих зданий); Приложение №4 к техническому заданию — техническое задание на ЦИМ, редакция 2 от 25.08.2026.</w:t>
      </w:r>
    </w:p>
    <w:p>
      <w:pPr>
        <w:pStyle w:val="Heading1"/>
      </w:pPr>
      <w:r>
        <w:rPr>
          <w:b/>
          <w:sz w:val="28"/>
        </w:rPr>
        <w:t xml:space="preserve">Состав цифровой информационной модели</w:t>
      </w:r>
    </w:p>
    <w:p>
      <w:pPr>
        <w:pStyle w:val="Heading2"/>
      </w:pPr>
      <w:r>
        <w:rPr>
          <w:b/>
          <w:sz w:val="24"/>
        </w:rPr>
        <w:t xml:space="preserve">Структура моделей и файлов</w:t>
      </w:r>
    </w:p>
    <w:p>
      <w:r>
        <w:rPr>
          <w:sz w:val="20"/>
        </w:rPr>
        <w:t xml:space="preserve">Модель комплекса состоит из библиотеки типов оборудования, дисциплинарных моделей по лотам и сводной модели. Библиотека типов — общий для всех лотов набор компонентов оборудования: на каждый типоразмер оборудования создан отдельный библиотечный компонент, из которого элементы размещаются в моделях лотов. Дисциплинарные модели формируются по объектам и разделам, сводная модель собирается из дисциплинарных для проверки коллизий.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400"/>
        <w:gridCol w:w="4554"/>
        <w:gridCol w:w="2400"/>
      </w:tblGrid>
      <w:tr>
        <w:trPr>
          <w:cantSplit/>
          <w:tblHeader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6"/>
              </w:rPr>
              <w:t xml:space="preserve">Составная часть модели</w:t>
            </w:r>
          </w:p>
        </w:tc>
        <w:tc>
          <w:tcPr>
            <w:tcW w:w="4554" w:type="dxa"/>
            <w:shd w:val="clear" w:fill="EFEFEF"/>
          </w:tcPr>
          <w:p>
            <w:r>
              <w:rPr>
                <w:b/>
                <w:sz w:val="16"/>
              </w:rPr>
              <w:t xml:space="preserve">Содержание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6"/>
              </w:rPr>
              <w:t xml:space="preserve">Состояние на Ревизии 0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Библиотека типов оборудования</w:t>
            </w:r>
          </w:p>
        </w:tc>
        <w:tc>
          <w:tcPr>
            <w:tcW w:w="4554" w:type="dxa"/>
          </w:tcPr>
          <w:p>
            <w:r>
              <w:rPr>
                <w:sz w:val="16"/>
              </w:rPr>
              <w:t xml:space="preserve">Типы оборудования комплекса с габаритными телами и атрибутивным набором; общая и по лотам</w:t>
            </w:r>
          </w:p>
        </w:tc>
        <w:tc>
          <w:tcPr>
            <w:tcW w:w="2400" w:type="dxa"/>
          </w:tcPr>
          <w:p>
            <w:r>
              <w:rPr>
                <w:sz w:val="16"/>
              </w:rPr>
              <w:t xml:space="preserve">Выпущена, файлы приведены ниже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Дисциплинарные модели лотов, раздел ТХ</w:t>
            </w:r>
          </w:p>
        </w:tc>
        <w:tc>
          <w:tcPr>
            <w:tcW w:w="4554" w:type="dxa"/>
          </w:tcPr>
          <w:p>
            <w:r>
              <w:rPr>
                <w:sz w:val="16"/>
              </w:rPr>
              <w:t xml:space="preserve">Размещённое оборудование, газоходы и трубопроводы, зоны обслуживания, компоновка на осях и отметках</w:t>
            </w:r>
          </w:p>
        </w:tc>
        <w:tc>
          <w:tcPr>
            <w:tcW w:w="2400" w:type="dxa"/>
          </w:tcPr>
          <w:p>
            <w:r>
              <w:rPr>
                <w:sz w:val="16"/>
              </w:rPr>
              <w:t xml:space="preserve">Разрабатываются на этапе моделирования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Дисциплинарные модели лотов, разделы ЭОМ, СС, АК</w:t>
            </w:r>
          </w:p>
        </w:tc>
        <w:tc>
          <w:tcPr>
            <w:tcW w:w="4554" w:type="dxa"/>
          </w:tcPr>
          <w:p>
            <w:r>
              <w:rPr>
                <w:sz w:val="16"/>
              </w:rPr>
              <w:t xml:space="preserve">Шинопроводы и токопроводы, щиты и шкафы, огнезащитные короба, магистральные трассы</w:t>
            </w:r>
          </w:p>
        </w:tc>
        <w:tc>
          <w:tcPr>
            <w:tcW w:w="2400" w:type="dxa"/>
          </w:tcPr>
          <w:p>
            <w:r>
              <w:rPr>
                <w:sz w:val="16"/>
              </w:rPr>
              <w:t xml:space="preserve">Разрабатываются на этапе моделирования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6"/>
              </w:rPr>
              <w:t xml:space="preserve">Сводная модель комплекса</w:t>
            </w:r>
          </w:p>
        </w:tc>
        <w:tc>
          <w:tcPr>
            <w:tcW w:w="4554" w:type="dxa"/>
          </w:tcPr>
          <w:p>
            <w:r>
              <w:rPr>
                <w:sz w:val="16"/>
              </w:rPr>
              <w:t xml:space="preserve">Объединение дисциплинарных моделей лотов со строительной подосновой для проверки коллизий</w:t>
            </w:r>
          </w:p>
        </w:tc>
        <w:tc>
          <w:tcPr>
            <w:tcW w:w="2400" w:type="dxa"/>
          </w:tcPr>
          <w:p>
            <w:r>
              <w:rPr>
                <w:sz w:val="16"/>
              </w:rPr>
              <w:t xml:space="preserve">Формируется по завершении дисциплинарных моделей</w:t>
            </w:r>
          </w:p>
        </w:tc>
      </w:tr>
    </w:tbl>
    <w:p>
      <w:r>
        <w:rPr>
          <w:sz w:val="20"/>
        </w:rPr>
        <w:t xml:space="preserve">Пространственная структура моделей — участок, здание, этаж — формируется при размещении элементов в моделях лотов. Выпущенные на Ревизии 0 файлы содержат типы оборудования и предназначены для загрузки в модели лотов как исходный набор компонентов.</w:t>
      </w:r>
    </w:p>
    <w:p>
      <w:pPr>
        <w:pStyle w:val="Heading2"/>
      </w:pPr>
      <w:r>
        <w:rPr>
          <w:b/>
          <w:sz w:val="24"/>
        </w:rPr>
        <w:t xml:space="preserve">Перечень файлов обмена Ревизии 0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500"/>
        <w:gridCol w:w="3554"/>
        <w:gridCol w:w="900"/>
        <w:gridCol w:w="1300"/>
        <w:gridCol w:w="1100"/>
      </w:tblGrid>
      <w:tr>
        <w:trPr>
          <w:cantSplit/>
          <w:tblHeader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Файл</w:t>
            </w:r>
          </w:p>
        </w:tc>
        <w:tc>
          <w:tcPr>
            <w:tcW w:w="3554" w:type="dxa"/>
            <w:shd w:val="clear" w:fill="EFEFEF"/>
          </w:tcPr>
          <w:p>
            <w:r>
              <w:rPr>
                <w:b/>
                <w:sz w:val="16"/>
              </w:rPr>
              <w:t xml:space="preserve">Содержание</w:t>
            </w:r>
          </w:p>
        </w:tc>
        <w:tc>
          <w:tcPr>
            <w:tcW w:w="900" w:type="dxa"/>
            <w:shd w:val="clear" w:fill="EFEFEF"/>
          </w:tcPr>
          <w:p>
            <w:r>
              <w:rPr>
                <w:b/>
                <w:sz w:val="16"/>
              </w:rPr>
              <w:t xml:space="preserve">Типов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6"/>
              </w:rPr>
              <w:t xml:space="preserve">Объектов IFC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Размер, КБ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ove75-equip-lib.ifc</w:t>
            </w:r>
          </w:p>
        </w:tc>
        <w:tc>
          <w:tcPr>
            <w:tcW w:w="3554" w:type="dxa"/>
          </w:tcPr>
          <w:p>
            <w:r>
              <w:rPr>
                <w:sz w:val="16"/>
              </w:rPr>
              <w:t xml:space="preserve">Сводная библиотека типов оборудования комплекса (все лоты)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70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718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114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ove75-equip-lot0.ifc</w:t>
            </w:r>
          </w:p>
        </w:tc>
        <w:tc>
          <w:tcPr>
            <w:tcW w:w="3554" w:type="dxa"/>
          </w:tcPr>
          <w:p>
            <w:r>
              <w:rPr>
                <w:sz w:val="16"/>
              </w:rPr>
              <w:t xml:space="preserve">Оборудование смежных переделов вне границ Базового инжиниринга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102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ove75-equip-lot1.ifc</w:t>
            </w:r>
          </w:p>
        </w:tc>
        <w:tc>
          <w:tcPr>
            <w:tcW w:w="3554" w:type="dxa"/>
          </w:tcPr>
          <w:p>
            <w:r>
              <w:rPr>
                <w:sz w:val="16"/>
              </w:rPr>
              <w:t xml:space="preserve">Оборудование Лота №1 — цех обжига (объект 2.8.3)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27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284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43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ove75-equip-lot2.ifc</w:t>
            </w:r>
          </w:p>
        </w:tc>
        <w:tc>
          <w:tcPr>
            <w:tcW w:w="3554" w:type="dxa"/>
          </w:tcPr>
          <w:p>
            <w:r>
              <w:rPr>
                <w:sz w:val="16"/>
              </w:rPr>
              <w:t xml:space="preserve">Оборудование Лота №2 — участок купороса (объект 2.8.5c)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17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221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29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ove75-equip-lot3.ifc</w:t>
            </w:r>
          </w:p>
        </w:tc>
        <w:tc>
          <w:tcPr>
            <w:tcW w:w="3554" w:type="dxa"/>
          </w:tcPr>
          <w:p>
            <w:r>
              <w:rPr>
                <w:sz w:val="16"/>
              </w:rPr>
              <w:t xml:space="preserve">Оборудование Лота №3 — отделение электроэкстракции (объект 2.8.5d)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14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113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25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ove75-equip-lot4.ifc</w:t>
            </w:r>
          </w:p>
        </w:tc>
        <w:tc>
          <w:tcPr>
            <w:tcW w:w="3554" w:type="dxa"/>
          </w:tcPr>
          <w:p>
            <w:r>
              <w:rPr>
                <w:sz w:val="16"/>
              </w:rPr>
              <w:t xml:space="preserve">Оборудование Лота №4 — склад готовой продукции (объект 2.8.5e)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34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8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6"/>
              </w:rPr>
              <w:t xml:space="preserve">Итого по файлам лотов</w:t>
            </w:r>
          </w:p>
        </w:tc>
        <w:tc>
          <w:tcPr>
            <w:tcW w:w="3554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900" w:type="dxa"/>
          </w:tcPr>
          <w:p>
            <w:r>
              <w:rPr>
                <w:sz w:val="16"/>
              </w:rPr>
              <w:t xml:space="preserve">70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754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119</w:t>
            </w:r>
          </w:p>
        </w:tc>
      </w:tr>
    </w:tbl>
    <w:p>
      <w:r>
        <w:rPr>
          <w:sz w:val="20"/>
        </w:rPr>
        <w:t xml:space="preserve">Сводная библиотека содержит 70 типов оборудования — полный перечень оборудования комплекса, включая позиции смежных переделов вне границ Базового инжиниринга. Лотовые файлы содержат подмножества той же библиотеки; идентификаторы GlobalId типов совпадают в сводном и лотовых файлах, что исключает дублирование компонентов при сборке моделей. Схема данных файлов — IFC4; единицы: длина — миллиметр, площадь — квадратный метр, объём — кубический метр.</w:t>
      </w:r>
    </w:p>
    <w:p>
      <w:r>
        <w:rPr>
          <w:sz w:val="20"/>
        </w:rPr>
        <w:t xml:space="preserve">Габаритное тело выполнено для 25 типов из 70: габарит принят по фактическим размерам, приведённым в исходных данных Заказчика и в перечне оборудования. Для остальных позиций габаритные размеры в исходных данных не заданы — тело компонента выполняется после получения ТКП изготовителя либо принимается по референсному аналогу с пометкой о предварительном характере.</w:t>
      </w:r>
    </w:p>
    <w:p>
      <w:r>
        <w:rPr>
          <w:color w:val="666666"/>
          <w:sz w:val="17"/>
        </w:rPr>
        <w:t xml:space="preserve">Источник: выпущенные файлы обмена IFC Ревизии 0; перечень оборудования комплекса (решения БИ, исходные данные ч.1 и ч.2).</w:t>
      </w:r>
    </w:p>
    <w:p>
      <w:pPr>
        <w:pStyle w:val="Heading2"/>
      </w:pPr>
      <w:r>
        <w:rPr>
          <w:b/>
          <w:sz w:val="24"/>
        </w:rPr>
        <w:t xml:space="preserve">Классы элементов IFC</w:t>
      </w:r>
    </w:p>
    <w:p>
      <w:r>
        <w:rPr>
          <w:sz w:val="20"/>
        </w:rPr>
        <w:t xml:space="preserve">Элементы модели классифицированы по классам схемы IFC4 по виду оборудования. Для позиций, которым в схеме IFC4 не соответствует специализированный класс, применён общий класс элемента строительного объекта; вид оборудования при этом сохраняется в наименовании и атрибутивном наборе элемента.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5954"/>
        <w:gridCol w:w="800"/>
      </w:tblGrid>
      <w:tr>
        <w:trPr>
          <w:cantSplit/>
          <w:tblHeader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6"/>
              </w:rPr>
              <w:t xml:space="preserve">Класс IFC4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6"/>
              </w:rPr>
              <w:t xml:space="preserve">Содержание</w:t>
            </w:r>
          </w:p>
        </w:tc>
        <w:tc>
          <w:tcPr>
            <w:tcW w:w="800" w:type="dxa"/>
            <w:shd w:val="clear" w:fill="EFEFEF"/>
          </w:tcPr>
          <w:p>
            <w:r>
              <w:rPr>
                <w:b/>
                <w:sz w:val="16"/>
              </w:rPr>
              <w:t xml:space="preserve">Типов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IfcBuildingElementProxyType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Оборудование, для которого класс в схеме IFC4 не предусмотрен (центрифуги, печи, узлы упаковки и маркировки, стенды)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19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IfcTankType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Ёмкостное оборудование: ёмкости, баки, бункеры, реакторы, репульпаторы, сгустители, ванны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17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IfcTransportElementType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Транспортное и подъёмное оборудование: конвейеры, транспортёры, краны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6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IfcFilterType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Аппараты разделения: фильтры, циклоны, электрофильтры, пылеотделители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6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IfcHeatExchangerType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Теплообменное оборудование: теплообменники, холодильники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4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IfcEvaporatorType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Испарители выпарных установок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4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IfcFanType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Тягодутьевое оборудование: дымососы, вентиляторы, воздуходувки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3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IfcPumpType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Насосное оборудование, включая струйные аппараты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3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IfcBurnerType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Горелочные устройства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2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IfcCondenserType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Конденсаторы, в том числе барометрические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2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IfcDamperType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Регулирующие и отсечные затворы газоходов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IfcBoilerType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Котельное оборудование: котёл-утилизатор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IfcCableSegmentType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Токопроводы: ошиновка серии электроэкстракции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6"/>
              </w:rPr>
              <w:t xml:space="preserve">IfcTransformerType</w:t>
            </w:r>
          </w:p>
        </w:tc>
        <w:tc>
          <w:tcPr>
            <w:tcW w:w="5954" w:type="dxa"/>
          </w:tcPr>
          <w:p>
            <w:r>
              <w:rPr>
                <w:sz w:val="16"/>
              </w:rPr>
              <w:t xml:space="preserve">Преобразовательное оборудование: выпрямительные агрегаты</w:t>
            </w:r>
          </w:p>
        </w:tc>
        <w:tc>
          <w:tcPr>
            <w:tcW w:w="800" w:type="dxa"/>
          </w:tcPr>
          <w:p>
            <w:r>
              <w:rPr>
                <w:sz w:val="16"/>
              </w:rPr>
              <w:t xml:space="preserve">1</w:t>
            </w:r>
          </w:p>
        </w:tc>
      </w:tr>
    </w:tbl>
    <w:p>
      <w:r>
        <w:rPr>
          <w:color w:val="666666"/>
          <w:sz w:val="17"/>
        </w:rPr>
        <w:t xml:space="preserve">Источник: выпущенные файлы обмена IFC Ревизии 0; схема данных IFC4 (ГОСТ Р 10.0.02-2019 / ИСО 16739-1).</w:t>
      </w:r>
    </w:p>
    <w:p>
      <w:pPr>
        <w:pStyle w:val="Heading2"/>
      </w:pPr>
      <w:r>
        <w:rPr>
          <w:b/>
          <w:sz w:val="24"/>
        </w:rPr>
        <w:t xml:space="preserve">Состав моделей по лотам</w:t>
      </w:r>
    </w:p>
    <w:p>
      <w:r>
        <w:rPr>
          <w:sz w:val="20"/>
        </w:rPr>
        <w:t xml:space="preserve">Состав элементов дисциплинарных моделей определён компоновочными решениями Базового инжиниринга по каждому лоту. Ниже приведён перечень основных объектов моделирования и зон обслуживания, выполняемых отдельными объёмными элементами.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00"/>
        <w:gridCol w:w="4600"/>
        <w:gridCol w:w="4054"/>
      </w:tblGrid>
      <w:tr>
        <w:trPr>
          <w:cantSplit/>
          <w:tblHeader/>
        </w:trPr>
        <w:tc>
          <w:tcPr>
            <w:tcW w:w="700" w:type="dxa"/>
            <w:shd w:val="clear" w:fill="EFEFEF"/>
          </w:tcPr>
          <w:p>
            <w:r>
              <w:rPr>
                <w:b/>
                <w:sz w:val="15"/>
              </w:rPr>
              <w:t xml:space="preserve">Лот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5"/>
              </w:rPr>
              <w:t xml:space="preserve">Основные объекты моделирования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Зоны обслуживания и выемки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№1</w:t>
            </w:r>
          </w:p>
        </w:tc>
        <w:tc>
          <w:tcPr>
            <w:tcW w:w="4600" w:type="dxa"/>
          </w:tcPr>
          <w:p>
            <w:r>
              <w:rPr>
                <w:sz w:val="15"/>
              </w:rPr>
              <w:t xml:space="preserve">Печь кипящего слоя (диаметр 6000/8390 мм, высота 9200 мм), котёл-утилизатор, циклон (высота 6100 мм), электрофильтры 18 110 × 4 790 × 18 695 мм (2 шт.), воздуходувка, силосы 100 и 10 м³, бункерная этажерка, конвейеры шихтоподготовки; газоходы диаметром 2000 и 1100 мм; магистральные трубопроводы пара, воды, кислорода и мазута; металлоконструкции этажерок и площадок укрупнённо</w:t>
            </w:r>
          </w:p>
        </w:tc>
        <w:tc>
          <w:tcPr>
            <w:tcW w:w="4054" w:type="dxa"/>
          </w:tcPr>
          <w:p>
            <w:r>
              <w:rPr>
                <w:sz w:val="15"/>
              </w:rPr>
              <w:t xml:space="preserve">Выкатка роторов дымососов; обслуживание полей электрофильтров; зона раскладки футеровки с путём подачи около 135 т шамота при капитальном ремонте; зоны действия кранов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№2</w:t>
            </w:r>
          </w:p>
        </w:tc>
        <w:tc>
          <w:tcPr>
            <w:tcW w:w="4600" w:type="dxa"/>
          </w:tcPr>
          <w:p>
            <w:r>
              <w:rPr>
                <w:sz w:val="15"/>
              </w:rPr>
              <w:t xml:space="preserve">Четыре испарителя с подогревателями и контурами циркуляции; два барометрических конденсатора со стояками около 10,5 м и гидрозатворами в приямках на отметках минус 2,0…минус 2,5 м; два подогревателя; солевые колонны (столб 7,0—7,9 м); этажерка вторых ступеней на отметках плюс 8…плюс 9 м; центрифуги, репульпаторы, баки, узел фасовки; основные трубопроводы по перечню трубопроводов</w:t>
            </w:r>
          </w:p>
        </w:tc>
        <w:tc>
          <w:tcPr>
            <w:tcW w:w="4054" w:type="dxa"/>
          </w:tcPr>
          <w:p>
            <w:r>
              <w:rPr>
                <w:sz w:val="15"/>
              </w:rPr>
              <w:t xml:space="preserve">Обслуживание аппаратов и выемка трубных пучков объёмными элементами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№3</w:t>
            </w:r>
          </w:p>
        </w:tc>
        <w:tc>
          <w:tcPr>
            <w:tcW w:w="4600" w:type="dxa"/>
          </w:tcPr>
          <w:p>
            <w:r>
              <w:rPr>
                <w:sz w:val="15"/>
              </w:rPr>
              <w:t xml:space="preserve">Ванна с колпаком и бортовым отсосом одним компонентом, размещаемым массивом 2 × 90 с шагом 1,40 м; закорачивающая и подъёмная рамы; специальный кран с траверсой; машина обработки катодов поблочно; циркуляционный бак; узлы реагентов; шинные мосты и межванновая ошиновка; коллекторы DN 350 и DN 80; сборный воздуховод</w:t>
            </w:r>
          </w:p>
        </w:tc>
        <w:tc>
          <w:tcPr>
            <w:tcW w:w="4054" w:type="dxa"/>
          </w:tcPr>
          <w:p>
            <w:r>
              <w:rPr>
                <w:sz w:val="15"/>
              </w:rPr>
              <w:t xml:space="preserve">Ход крюка и габарит траверсы с матрицами над колпаками до отметок плюс 6…плюс 7 м; зона перестановки крышек; подванное пространство с трассой нутч-фильтра; ремонтная зона машины обработки катодов; коридоры переноса закорачивающих рам; проходы обслуживания рядов 1,4—1,8 м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№4</w:t>
            </w:r>
          </w:p>
        </w:tc>
        <w:tc>
          <w:tcPr>
            <w:tcW w:w="4600" w:type="dxa"/>
          </w:tcPr>
          <w:p>
            <w:r>
              <w:rPr>
                <w:sz w:val="15"/>
              </w:rPr>
              <w:t xml:space="preserve">Конвейер приёмки с весовой позицией и позицией разбраковки; сверловочный стенд; узел упаковки и маркировки; зона адресного хранения на 600 позиций в плане со стопами двух ярусов условными объёмами; штабелёры; зарядная станция; кран с траверсой; вагонные и автомобильные весы; шкафы систем управления и трассы; ограждение автоматической зоны</w:t>
            </w:r>
          </w:p>
        </w:tc>
        <w:tc>
          <w:tcPr>
            <w:tcW w:w="4054" w:type="dxa"/>
          </w:tcPr>
          <w:p>
            <w:r>
              <w:rPr>
                <w:sz w:val="15"/>
              </w:rPr>
              <w:t xml:space="preserve">Коридоры манёвра штабелёров и проезды 3,5—4,0 м; весовые зоны и пандусы; зона обслуживания крана; габарит приближения железнодорожного подвижного состава внутри корпуса</w:t>
            </w:r>
          </w:p>
        </w:tc>
      </w:tr>
    </w:tbl>
    <w:p>
      <w:r>
        <w:rPr>
          <w:color w:val="666666"/>
          <w:sz w:val="17"/>
        </w:rPr>
        <w:t xml:space="preserve">Источник: компоновочные решения и разделы ЦИМ по лотам №1—№4 (решения БИ); исходные данные ч.1 и ч.2; ГОСТ 9238-2013 — габарит приближения железнодорожного подвижного состава.</w:t>
      </w:r>
    </w:p>
    <w:p>
      <w:pPr>
        <w:pStyle w:val="Heading1"/>
      </w:pPr>
      <w:r>
        <w:rPr>
          <w:b/>
          <w:sz w:val="28"/>
        </w:rPr>
        <w:t xml:space="preserve">Уровень графической и информационной детализации</w:t>
      </w:r>
    </w:p>
    <w:p>
      <w:r>
        <w:rPr>
          <w:sz w:val="20"/>
        </w:rPr>
        <w:t xml:space="preserve">Уровень проработки элементов модели задан Приложением 1 к техническому заданию на ЦИМ — листами «Стадия БИ_ТХ» и «Стадия БИ_ЭОМ,СС,АК». Графическая детализация (LOD G) назначается по виду элемента: условные или точные габариты и расположение, внешний вид, материал, уклон, зона обслуживания. Информационная детализация (LOI) задаётся перечнем групп атрибутов того же приложения.</w:t>
      </w:r>
    </w:p>
    <w:p>
      <w:r>
        <w:rPr>
          <w:sz w:val="20"/>
        </w:rPr>
        <w:t xml:space="preserve">Принятому уровню соответствует эскизная проработка геометрии: габаритные тела оборудования, присоединительные места, компоновка на осях и отметках, магистральные трассы, зоны обслуживания объёмными элементами. Элементы, прямо исключённые требованиями к детализации моделей оборудования (болты, гайки, отверстия под фланцы), не выполняются. По справочной методической рамке уровней проработки такая модель соответствует уровню LOD 200.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700"/>
        <w:gridCol w:w="1000"/>
        <w:gridCol w:w="6654"/>
      </w:tblGrid>
      <w:tr>
        <w:trPr>
          <w:cantSplit/>
          <w:tblHeader/>
        </w:trPr>
        <w:tc>
          <w:tcPr>
            <w:tcW w:w="1700" w:type="dxa"/>
            <w:shd w:val="clear" w:fill="EFEFEF"/>
          </w:tcPr>
          <w:p>
            <w:r>
              <w:rPr>
                <w:b/>
                <w:sz w:val="16"/>
              </w:rPr>
              <w:t xml:space="preserve">Раздел модели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6"/>
              </w:rPr>
              <w:t xml:space="preserve">Лоты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6"/>
              </w:rPr>
              <w:t xml:space="preserve">Уровень графической детализации по матрице Приложения 1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ТХ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№1—№4</w:t>
            </w:r>
          </w:p>
        </w:tc>
        <w:tc>
          <w:tcPr>
            <w:tcW w:w="6654" w:type="dxa"/>
          </w:tcPr>
          <w:p>
            <w:r>
              <w:rPr>
                <w:sz w:val="16"/>
              </w:rPr>
              <w:t xml:space="preserve">Лист «Стадия БИ_ТХ»: условные либо точные габариты и расположение, внешний вид элемента, материал, уклон, зона обслуживания — по видам элементов</w:t>
            </w:r>
          </w:p>
        </w:tc>
      </w:tr>
      <w:tr>
        <w:trPr>
          <w:cantSplit/>
        </w:trPr>
        <w:tc>
          <w:tcPr>
            <w:tcW w:w="1700" w:type="dxa"/>
          </w:tcPr>
          <w:p>
            <w:r>
              <w:rPr>
                <w:sz w:val="16"/>
              </w:rPr>
              <w:t xml:space="preserve">ЭОМ, СС, АК</w:t>
            </w:r>
          </w:p>
        </w:tc>
        <w:tc>
          <w:tcPr>
            <w:tcW w:w="1000" w:type="dxa"/>
          </w:tcPr>
          <w:p>
            <w:r>
              <w:rPr>
                <w:sz w:val="16"/>
              </w:rPr>
              <w:t xml:space="preserve">№1—№4</w:t>
            </w:r>
          </w:p>
        </w:tc>
        <w:tc>
          <w:tcPr>
            <w:tcW w:w="6654" w:type="dxa"/>
          </w:tcPr>
          <w:p>
            <w:r>
              <w:rPr>
                <w:sz w:val="16"/>
              </w:rPr>
              <w:t xml:space="preserve">Лист «Стадия БИ_ЭОМ,СС,АК»: условные либо точные габариты и расположение, внешний вид элемента, материал, зона обслуживания — по видам элементов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№4 к техническому заданию — техническое задание на ЦИМ, редакция 2 от 25.08.2026, Приложение 1 «Требования к составу ЦИМ, графической (LOD G) и информационной (LOI) детализации», листы стадии БИ; ISO 19650 и методическая рамка уровней проработки — справочно.</w:t>
      </w:r>
    </w:p>
    <w:p>
      <w:pPr>
        <w:pStyle w:val="Heading2"/>
      </w:pPr>
      <w:r>
        <w:rPr>
          <w:b/>
          <w:sz w:val="24"/>
        </w:rPr>
        <w:t xml:space="preserve">Информационная детализация элементов</w:t>
      </w:r>
    </w:p>
    <w:p>
      <w:r>
        <w:rPr>
          <w:sz w:val="20"/>
        </w:rPr>
        <w:t xml:space="preserve">Группы атрибутов, установленные Приложением 1 для стадии БИ, и соответствующие им данные модели приведены в таблице. Атрибут «Завод-изготовитель» на стадии БИ не заполняется: оборудование не законтрактовано, заводские данные появляются после закупочных процедур.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3400"/>
        <w:gridCol w:w="2754"/>
      </w:tblGrid>
      <w:tr>
        <w:trPr>
          <w:cantSplit/>
          <w:tblHeader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Группа атрибутов Приложения 1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6"/>
              </w:rPr>
              <w:t xml:space="preserve">Данные модели</w:t>
            </w:r>
          </w:p>
        </w:tc>
        <w:tc>
          <w:tcPr>
            <w:tcW w:w="2754" w:type="dxa"/>
            <w:shd w:val="clear" w:fill="EFEFEF"/>
          </w:tcPr>
          <w:p>
            <w:r>
              <w:rPr>
                <w:b/>
                <w:sz w:val="16"/>
              </w:rPr>
              <w:t xml:space="preserve">Состояние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6"/>
              </w:rPr>
              <w:t xml:space="preserve">Местоположение: корпус, здание, отметка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Пространственная структура модели, атрибут «Лот»</w:t>
            </w:r>
          </w:p>
        </w:tc>
        <w:tc>
          <w:tcPr>
            <w:tcW w:w="2754" w:type="dxa"/>
          </w:tcPr>
          <w:p>
            <w:r>
              <w:rPr>
                <w:sz w:val="16"/>
              </w:rPr>
              <w:t xml:space="preserve">Формируется при размещении элементов в модели лота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6"/>
              </w:rPr>
              <w:t xml:space="preserve">Наименование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Наименование элемента модели и атрибут «Наименование» набора свойств</w:t>
            </w:r>
          </w:p>
        </w:tc>
        <w:tc>
          <w:tcPr>
            <w:tcW w:w="2754" w:type="dxa"/>
          </w:tcPr>
          <w:p>
            <w:r>
              <w:rPr>
                <w:sz w:val="16"/>
              </w:rPr>
              <w:t xml:space="preserve">Заполнено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6"/>
              </w:rPr>
              <w:t xml:space="preserve">Геометрия: длина, диаметр, габариты, сечение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Габаритное тело элемента и параметры профиля</w:t>
            </w:r>
          </w:p>
        </w:tc>
        <w:tc>
          <w:tcPr>
            <w:tcW w:w="2754" w:type="dxa"/>
          </w:tcPr>
          <w:p>
            <w:r>
              <w:rPr>
                <w:sz w:val="16"/>
              </w:rPr>
              <w:t xml:space="preserve">Заполнено для позиций с габаритами в исходных данных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6"/>
              </w:rPr>
              <w:t xml:space="preserve">Характеристики системы: среда, давление, температура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Атрибуты трубопроводных и газоходных элементов</w:t>
            </w:r>
          </w:p>
        </w:tc>
        <w:tc>
          <w:tcPr>
            <w:tcW w:w="2754" w:type="dxa"/>
          </w:tcPr>
          <w:p>
            <w:r>
              <w:rPr>
                <w:sz w:val="16"/>
              </w:rPr>
              <w:t xml:space="preserve">Формируется по перечню трубопроводов и схемам трубопроводов и КИПиА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6"/>
              </w:rPr>
              <w:t xml:space="preserve">Характеристики оборудования: мощность, расход, производительность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Атрибуты «Мощность_кВт», «Количество», «Материал»</w:t>
            </w:r>
          </w:p>
        </w:tc>
        <w:tc>
          <w:tcPr>
            <w:tcW w:w="2754" w:type="dxa"/>
          </w:tcPr>
          <w:p>
            <w:r>
              <w:rPr>
                <w:sz w:val="16"/>
              </w:rPr>
              <w:t xml:space="preserve">Заполнено в объёме исходных данных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6"/>
              </w:rPr>
              <w:t xml:space="preserve">Нагрузки, напряжение, потребляемая мощность, тип системы, масса (ЭОМ, СС, АК)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Атрибуты элементов раздела электроснабжения и автоматизации</w:t>
            </w:r>
          </w:p>
        </w:tc>
        <w:tc>
          <w:tcPr>
            <w:tcW w:w="2754" w:type="dxa"/>
          </w:tcPr>
          <w:p>
            <w:r>
              <w:rPr>
                <w:sz w:val="16"/>
              </w:rPr>
              <w:t xml:space="preserve">Формируется по однолинейным схемам и перечню электрооборудования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Атрибутивный набор библиотеки типов</w:t>
      </w:r>
    </w:p>
    <w:p>
      <w:r>
        <w:rPr>
          <w:sz w:val="20"/>
        </w:rPr>
        <w:t xml:space="preserve">Типам оборудования библиотеки назначен единый набор свойств. Значения приняты из перечня оборудования комплекса без домысливания: атрибут записывается только при наличии значения в исходных данных. Заполнение набора на Ревизии 0 приведено в таблице.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900"/>
        <w:gridCol w:w="3704"/>
        <w:gridCol w:w="1250"/>
        <w:gridCol w:w="2500"/>
      </w:tblGrid>
      <w:tr>
        <w:trPr>
          <w:cantSplit/>
          <w:tblHeader/>
        </w:trPr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Атрибут набора Pset_KVANT_LOI</w:t>
            </w:r>
          </w:p>
        </w:tc>
        <w:tc>
          <w:tcPr>
            <w:tcW w:w="3704" w:type="dxa"/>
            <w:shd w:val="clear" w:fill="EFEFEF"/>
          </w:tcPr>
          <w:p>
            <w:r>
              <w:rPr>
                <w:b/>
                <w:sz w:val="16"/>
              </w:rPr>
              <w:t xml:space="preserve">Содержание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6"/>
              </w:rPr>
              <w:t xml:space="preserve">Заполнено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Источник значения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6"/>
              </w:rPr>
              <w:t xml:space="preserve">Позиция</w:t>
            </w:r>
          </w:p>
        </w:tc>
        <w:tc>
          <w:tcPr>
            <w:tcW w:w="3704" w:type="dxa"/>
          </w:tcPr>
          <w:p>
            <w:r>
              <w:rPr>
                <w:sz w:val="16"/>
              </w:rPr>
              <w:t xml:space="preserve">Номер позиции по спецификации оборудования лота</w:t>
            </w:r>
          </w:p>
        </w:tc>
        <w:tc>
          <w:tcPr>
            <w:tcW w:w="1250" w:type="dxa"/>
          </w:tcPr>
          <w:p>
            <w:r>
              <w:rPr>
                <w:sz w:val="16"/>
              </w:rPr>
              <w:t xml:space="preserve">26 из 70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спецификация оборудования БИ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6"/>
              </w:rPr>
              <w:t xml:space="preserve">Наименование</w:t>
            </w:r>
          </w:p>
        </w:tc>
        <w:tc>
          <w:tcPr>
            <w:tcW w:w="3704" w:type="dxa"/>
          </w:tcPr>
          <w:p>
            <w:r>
              <w:rPr>
                <w:sz w:val="16"/>
              </w:rPr>
              <w:t xml:space="preserve">Наименование оборудования по перечню Базового инжиниринга</w:t>
            </w:r>
          </w:p>
        </w:tc>
        <w:tc>
          <w:tcPr>
            <w:tcW w:w="1250" w:type="dxa"/>
          </w:tcPr>
          <w:p>
            <w:r>
              <w:rPr>
                <w:sz w:val="16"/>
              </w:rPr>
              <w:t xml:space="preserve">70 из 70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исходные данные ч.1 и ч.2, решения БИ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6"/>
              </w:rPr>
              <w:t xml:space="preserve">Лот</w:t>
            </w:r>
          </w:p>
        </w:tc>
        <w:tc>
          <w:tcPr>
            <w:tcW w:w="3704" w:type="dxa"/>
          </w:tcPr>
          <w:p>
            <w:r>
              <w:rPr>
                <w:sz w:val="16"/>
              </w:rPr>
              <w:t xml:space="preserve">Принадлежность к лоту и границам проектирования</w:t>
            </w:r>
          </w:p>
        </w:tc>
        <w:tc>
          <w:tcPr>
            <w:tcW w:w="1250" w:type="dxa"/>
          </w:tcPr>
          <w:p>
            <w:r>
              <w:rPr>
                <w:sz w:val="16"/>
              </w:rPr>
              <w:t xml:space="preserve">70 из 70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техническое задание ред. 4.1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6"/>
              </w:rPr>
              <w:t xml:space="preserve">Материал</w:t>
            </w:r>
          </w:p>
        </w:tc>
        <w:tc>
          <w:tcPr>
            <w:tcW w:w="3704" w:type="dxa"/>
          </w:tcPr>
          <w:p>
            <w:r>
              <w:rPr>
                <w:sz w:val="16"/>
              </w:rPr>
              <w:t xml:space="preserve">Материал исполнения корпуса и контактирующих со средой поверхностей</w:t>
            </w:r>
          </w:p>
        </w:tc>
        <w:tc>
          <w:tcPr>
            <w:tcW w:w="1250" w:type="dxa"/>
          </w:tcPr>
          <w:p>
            <w:r>
              <w:rPr>
                <w:sz w:val="16"/>
              </w:rPr>
              <w:t xml:space="preserve">49 из 70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исходные данные ч.1 и ч.2, решения БИ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6"/>
              </w:rPr>
              <w:t xml:space="preserve">Количество</w:t>
            </w:r>
          </w:p>
        </w:tc>
        <w:tc>
          <w:tcPr>
            <w:tcW w:w="3704" w:type="dxa"/>
          </w:tcPr>
          <w:p>
            <w:r>
              <w:rPr>
                <w:sz w:val="16"/>
              </w:rPr>
              <w:t xml:space="preserve">Количество единиц оборудования данного типоразмера</w:t>
            </w:r>
          </w:p>
        </w:tc>
        <w:tc>
          <w:tcPr>
            <w:tcW w:w="1250" w:type="dxa"/>
          </w:tcPr>
          <w:p>
            <w:r>
              <w:rPr>
                <w:sz w:val="16"/>
              </w:rPr>
              <w:t xml:space="preserve">70 из 70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спецификация оборудования БИ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6"/>
              </w:rPr>
              <w:t xml:space="preserve">Мощность_кВт</w:t>
            </w:r>
          </w:p>
        </w:tc>
        <w:tc>
          <w:tcPr>
            <w:tcW w:w="3704" w:type="dxa"/>
          </w:tcPr>
          <w:p>
            <w:r>
              <w:rPr>
                <w:sz w:val="16"/>
              </w:rPr>
              <w:t xml:space="preserve">Установленная мощность привода (для позиций с одиночным значением)</w:t>
            </w:r>
          </w:p>
        </w:tc>
        <w:tc>
          <w:tcPr>
            <w:tcW w:w="1250" w:type="dxa"/>
          </w:tcPr>
          <w:p>
            <w:r>
              <w:rPr>
                <w:sz w:val="16"/>
              </w:rPr>
              <w:t xml:space="preserve">9 из 70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исходные данные ч.1 и ч.2, решения БИ</w:t>
            </w:r>
          </w:p>
        </w:tc>
      </w:tr>
      <w:tr>
        <w:trPr>
          <w:cantSplit/>
        </w:trPr>
        <w:tc>
          <w:tcPr>
            <w:tcW w:w="1900" w:type="dxa"/>
          </w:tcPr>
          <w:p>
            <w:r>
              <w:rPr>
                <w:sz w:val="16"/>
              </w:rPr>
              <w:t xml:space="preserve">Масса_т</w:t>
            </w:r>
          </w:p>
        </w:tc>
        <w:tc>
          <w:tcPr>
            <w:tcW w:w="3704" w:type="dxa"/>
          </w:tcPr>
          <w:p>
            <w:r>
              <w:rPr>
                <w:sz w:val="16"/>
              </w:rPr>
              <w:t xml:space="preserve">Масса единицы оборудования</w:t>
            </w:r>
          </w:p>
        </w:tc>
        <w:tc>
          <w:tcPr>
            <w:tcW w:w="1250" w:type="dxa"/>
          </w:tcPr>
          <w:p>
            <w:r>
              <w:rPr>
                <w:sz w:val="16"/>
              </w:rPr>
              <w:t xml:space="preserve">не заполнен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уточняется по ТКП изготовителя</w:t>
            </w:r>
          </w:p>
        </w:tc>
      </w:tr>
    </w:tbl>
    <w:p>
      <w:r>
        <w:rPr>
          <w:sz w:val="20"/>
        </w:rPr>
        <w:t xml:space="preserve">Всего в сводной библиотеке 70 наборов свойств и 294 значения атрибутов. Незаполненные атрибуты дополняются по мере поступления исходных данных и ТКП изготовителей; состав набора при этом не изменяется.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масса оборудования — в исходных данных значения не приведены; атрибут предусмотрен в наборе и заполняется по ТКП изготовителей. Массы наиболее тяжёлых неразъёмных частей выдаются в составе требований к монтажу.</w:t>
      </w:r>
    </w:p>
    <w:p>
      <w:r>
        <w:rPr>
          <w:color w:val="666666"/>
          <w:sz w:val="17"/>
        </w:rPr>
        <w:t xml:space="preserve">Источник: выпущенные файлы обмена IFC Ревизии 0; перечень оборудования комплекса (решения БИ, исходные данные ч.1 и ч.2); Приложение №4 к техническому заданию — техническое задание на ЦИМ, редакция 2 от 25.08.2026, Приложение 1.</w:t>
      </w:r>
    </w:p>
    <w:p>
      <w:pPr>
        <w:pStyle w:val="Heading1"/>
      </w:pPr>
      <w:r>
        <w:rPr>
          <w:b/>
          <w:sz w:val="28"/>
        </w:rPr>
        <w:t xml:space="preserve">Инструментальная среда и порядок обмена</w:t>
      </w:r>
    </w:p>
    <w:p>
      <w:pPr>
        <w:pStyle w:val="Heading2"/>
      </w:pPr>
      <w:r>
        <w:rPr>
          <w:b/>
          <w:sz w:val="24"/>
        </w:rPr>
        <w:t xml:space="preserve">Программное обеспечение</w:t>
      </w:r>
    </w:p>
    <w:p>
      <w:r>
        <w:rPr>
          <w:sz w:val="20"/>
        </w:rPr>
        <w:t xml:space="preserve">Перечень программного обеспечения в действующей редакции требований является рекомендуемым; применяемое для проекта программное обеспечение подлежит согласованию с Заказчиком. Исполнитель применяет российское программное обеспечение из рекомендуемого перечня; лицензии учтены в стоимости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800"/>
        <w:gridCol w:w="5054"/>
        <w:gridCol w:w="1500"/>
      </w:tblGrid>
      <w:tr>
        <w:trPr>
          <w:cantSplit/>
          <w:tblHeader/>
        </w:trPr>
        <w:tc>
          <w:tcPr>
            <w:tcW w:w="2800" w:type="dxa"/>
            <w:shd w:val="clear" w:fill="EFEFEF"/>
          </w:tcPr>
          <w:p>
            <w:r>
              <w:rPr>
                <w:b/>
                <w:sz w:val="16"/>
              </w:rPr>
              <w:t xml:space="preserve">Область применения</w:t>
            </w:r>
          </w:p>
        </w:tc>
        <w:tc>
          <w:tcPr>
            <w:tcW w:w="5054" w:type="dxa"/>
            <w:shd w:val="clear" w:fill="EFEFEF"/>
          </w:tcPr>
          <w:p>
            <w:r>
              <w:rPr>
                <w:b/>
                <w:sz w:val="16"/>
              </w:rPr>
              <w:t xml:space="preserve">Программное обеспечение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6"/>
              </w:rPr>
              <w:t xml:space="preserve">Формат</w:t>
            </w:r>
          </w:p>
        </w:tc>
      </w:tr>
      <w:tr>
        <w:trPr>
          <w:cantSplit/>
        </w:trPr>
        <w:tc>
          <w:tcPr>
            <w:tcW w:w="2800" w:type="dxa"/>
          </w:tcPr>
          <w:p>
            <w:r>
              <w:rPr>
                <w:sz w:val="16"/>
              </w:rPr>
              <w:t xml:space="preserve">Внутренние и наружные инженерные системы, технология</w:t>
            </w:r>
          </w:p>
        </w:tc>
        <w:tc>
          <w:tcPr>
            <w:tcW w:w="5054" w:type="dxa"/>
          </w:tcPr>
          <w:p>
            <w:r>
              <w:rPr>
                <w:sz w:val="16"/>
              </w:rPr>
              <w:t xml:space="preserve">Model Studio CS Водоснабжение и канализация; Model Studio CS Отопление и вентиляция; Model Studio CS Трубопроводы; nanoCAD Инженерный BIM</w:t>
            </w:r>
          </w:p>
        </w:tc>
        <w:tc>
          <w:tcPr>
            <w:tcW w:w="1500" w:type="dxa"/>
          </w:tcPr>
          <w:p>
            <w:r>
              <w:rPr>
                <w:sz w:val="16"/>
              </w:rPr>
              <w:t xml:space="preserve">DWG</w:t>
            </w:r>
          </w:p>
        </w:tc>
      </w:tr>
      <w:tr>
        <w:trPr>
          <w:cantSplit/>
        </w:trPr>
        <w:tc>
          <w:tcPr>
            <w:tcW w:w="2800" w:type="dxa"/>
          </w:tcPr>
          <w:p>
            <w:r>
              <w:rPr>
                <w:sz w:val="16"/>
              </w:rPr>
              <w:t xml:space="preserve">Сводная ЦИМ</w:t>
            </w:r>
          </w:p>
        </w:tc>
        <w:tc>
          <w:tcPr>
            <w:tcW w:w="5054" w:type="dxa"/>
          </w:tcPr>
          <w:p>
            <w:r>
              <w:rPr>
                <w:sz w:val="16"/>
              </w:rPr>
              <w:t xml:space="preserve">IFC; CADLib Модель и Архив; Larix.Manager</w:t>
            </w:r>
          </w:p>
        </w:tc>
        <w:tc>
          <w:tcPr>
            <w:tcW w:w="1500" w:type="dxa"/>
          </w:tcPr>
          <w:p>
            <w:r>
              <w:rPr>
                <w:sz w:val="16"/>
              </w:rPr>
              <w:t xml:space="preserve">IFC / MLT / IMS</w:t>
            </w:r>
          </w:p>
        </w:tc>
      </w:tr>
      <w:tr>
        <w:trPr>
          <w:cantSplit/>
        </w:trPr>
        <w:tc>
          <w:tcPr>
            <w:tcW w:w="2800" w:type="dxa"/>
          </w:tcPr>
          <w:p>
            <w:r>
              <w:rPr>
                <w:sz w:val="16"/>
              </w:rPr>
              <w:t xml:space="preserve">Модели оборудования</w:t>
            </w:r>
          </w:p>
        </w:tc>
        <w:tc>
          <w:tcPr>
            <w:tcW w:w="5054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500" w:type="dxa"/>
          </w:tcPr>
          <w:p>
            <w:r>
              <w:rPr>
                <w:sz w:val="16"/>
              </w:rPr>
              <w:t xml:space="preserve">STEP</w:t>
            </w:r>
          </w:p>
        </w:tc>
      </w:tr>
    </w:tbl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конкретный состав и версии программного обеспечения моделирования, шаблоны и правила классификации элементов — согласовываются с Заказчиком до начала моделирования.</w:t>
      </w:r>
    </w:p>
    <w:p>
      <w:pPr>
        <w:pStyle w:val="Heading2"/>
      </w:pPr>
      <w:r>
        <w:rPr>
          <w:b/>
          <w:sz w:val="24"/>
        </w:rPr>
        <w:t xml:space="preserve">Требования к файлам IFC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54"/>
      </w:tblGrid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Допустимые версии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2.3.0.0, 4.0.2.1, 4.3 и более поздние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Размер файла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не более 500 МБ; при превышении файл разбивается на логичные части с сохранением общих пространственных координат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Иерархия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Проект (IfcProject) → Участок (IfcSite) → Здание (IfcBuilding) → Этаж (IfcBuildingStorey); элементы ЦИМ сопоставляются соответствующим классам IFC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Наименование файлов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из блоков через «_», без пробелов: шифр проекта (пример OVE-75) · стадия · объект проектирования · марка (АК=AK, СС=SS, ТХ=TX, ЭС=ES) · содержание или часть модели (MM — дисциплинарная сборка, FM — обобщённая модель здания, высотные отметки) · разработчик модели · программное обеспечение и его версия. Модели оборудования STEP именуются по наименованию оборудования транслитом.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№4 к техническому заданию — техническое задание на ЦИМ, редакция 2 от 25.08.2026, требования к файлам формата IFC и требования к файлам ЦИМ.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код стадии в наименовании файлов моделей БИ — таблица стадий содержит единственный код эскизного проекта, пример наименования в тексте использует код проектной документации, а этап работ объявлен как базовый инжиниринг; код стадии и, при необходимости, дополнительные обозначения марок (в таблице приведены только АК, СС, ТХ, ЭС) согласовываются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таблица обозначений программного обеспечения в правилах наименования кодирует иностранные системы проектирования и черновые версии формата IFC, тогда как рекомендуемый перечень содержит российское программное обеспечение, а допустимыми объявлены версии 2.3.0.0, 4.0.2.1 и 4.3 и более поздние; фактические коды применяемого программного обеспечения согласовываются с Заказчиком.</w:t>
      </w:r>
    </w:p>
    <w:p>
      <w:pPr>
        <w:pStyle w:val="Heading2"/>
      </w:pPr>
      <w:r>
        <w:rPr>
          <w:b/>
          <w:sz w:val="24"/>
        </w:rPr>
        <w:t xml:space="preserve">Система координат</w:t>
      </w:r>
    </w:p>
    <w:p>
      <w:r>
        <w:rPr>
          <w:sz w:val="20"/>
        </w:rPr>
        <w:t xml:space="preserve">Все модели проекта скоординированы между собой. Начало относительной системы координат модели объекта капитального строительства — пересечение первых разбивочных осей и уровня 0,000. Объект привязывается к материалам топографической съёмки в местной системе координат, к Балтийской системе высот и к проектному углу поворота относительно истинного севера. Модели разрабатываются непосредственно в системе координат проекта; принятые значения координат приводятся в настоящем отчёте.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фактические значения привязки к местной системе координат, к Балтийской системе высот и проектного угла поворота относительно истинного севера — принимаются по данным Заказчика и вносятся в настоящий отчёт очередной ревизией.</w:t>
      </w:r>
    </w:p>
    <w:p>
      <w:r>
        <w:rPr>
          <w:color w:val="666666"/>
          <w:sz w:val="17"/>
        </w:rPr>
        <w:t xml:space="preserve">Источник: Приложение №4 к техническому заданию — техническое задание на ЦИМ, редакция 2 от 25.08.2026, требования к системе координат.</w:t>
      </w:r>
    </w:p>
    <w:p>
      <w:pPr>
        <w:pStyle w:val="Heading2"/>
      </w:pPr>
      <w:r>
        <w:rPr>
          <w:b/>
          <w:sz w:val="24"/>
        </w:rPr>
        <w:t xml:space="preserve">Среда общих данных и выгрузка промежуточных моделей</w:t>
      </w:r>
    </w:p>
    <w:p>
      <w:r>
        <w:rPr>
          <w:sz w:val="20"/>
        </w:rPr>
        <w:t xml:space="preserve">Основной инструмент обмена информацией по проекту — среда общих данных Заказчика: через неё передаются официальные письма, комплекты документации, запросы информации, отчётные документы и модели. Загрузку комплекта передаваемых моделей выполняет ответственный сотрудник Исполнителя.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54"/>
      </w:tblGrid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Периодичность выгрузок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1 раз в 4 недели находящиеся в работе модели выгружаются в формате IFC в среду общих данных Заказчика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Статус промежуточных выгрузок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Промежуточные модели служат для контроля хода работ и актуализации; Заказчиком для выдачи официальных замечаний и в качестве результатов работ не используются. Противоречия требованиям технического задания Заказчик вправе озвучить на очередном совещании.</w:t>
            </w:r>
          </w:p>
        </w:tc>
      </w:tr>
      <w:tr>
        <w:trPr>
          <w:cantSplit/>
        </w:trPr>
        <w:tc>
          <w:tcPr>
            <w:tcW w:w="3000" w:type="dxa"/>
            <w:shd w:val="clear" w:fill="F7F7F7"/>
          </w:tcPr>
          <w:p>
            <w:r>
              <w:rPr>
                <w:b/>
                <w:sz w:val="19"/>
              </w:rPr>
              <w:t xml:space="preserve">Совещания</w:t>
            </w:r>
          </w:p>
        </w:tc>
        <w:tc>
          <w:tcPr>
            <w:tcW w:w="6354" w:type="dxa"/>
          </w:tcPr>
          <w:p>
            <w:r>
              <w:rPr>
                <w:sz w:val="19"/>
              </w:rPr>
              <w:t xml:space="preserve">Совещания — по утверждённому графику или по запросу Заказчика, с возможностью демонстрации моделей; протокол рассылается на согласование не позднее 3 рабочих дней; нерешённые вопросы переносятся в повестку следующего совещания.</w:t>
            </w:r>
          </w:p>
        </w:tc>
      </w:tr>
    </w:tbl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порядок подключения Исполнителя к среде общих данных Заказчика — доступ, регламент, состав пакета выгрузки — в техническом задании не описан; регламент запрашивается при старте работ.</w:t>
      </w:r>
    </w:p>
    <w:p>
      <w:pPr>
        <w:pStyle w:val="Heading2"/>
      </w:pPr>
      <w:r>
        <w:rPr>
          <w:b/>
          <w:sz w:val="24"/>
        </w:rPr>
        <w:t xml:space="preserve">Состав передачи Заказчику</w:t>
      </w:r>
    </w:p>
    <w:p>
      <w:r>
        <w:rPr>
          <w:sz w:val="20"/>
        </w:rPr>
        <w:t xml:space="preserve">По завершении этапа Заказчику передаётся комплект в следующем составе. Передаваемые модели скоординированы между собой, содержат достоверную и полную для стадии информацию и очищены от неиспользуемой информации (неиспользуемые параметры, двумерные подложки).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54"/>
        <w:gridCol w:w="3300"/>
      </w:tblGrid>
      <w:tr>
        <w:trPr>
          <w:cantSplit/>
          <w:tblHeader/>
        </w:trPr>
        <w:tc>
          <w:tcPr>
            <w:tcW w:w="6054" w:type="dxa"/>
            <w:shd w:val="clear" w:fill="EFEFEF"/>
          </w:tcPr>
          <w:p>
            <w:r>
              <w:rPr>
                <w:b/>
                <w:sz w:val="16"/>
              </w:rPr>
              <w:t xml:space="preserve">Состав передачи</w:t>
            </w:r>
          </w:p>
        </w:tc>
        <w:tc>
          <w:tcPr>
            <w:tcW w:w="3300" w:type="dxa"/>
            <w:shd w:val="clear" w:fill="EFEFEF"/>
          </w:tcPr>
          <w:p>
            <w:r>
              <w:rPr>
                <w:b/>
                <w:sz w:val="16"/>
              </w:rPr>
              <w:t xml:space="preserve">Формат</w:t>
            </w:r>
          </w:p>
        </w:tc>
      </w:tr>
      <w:tr>
        <w:trPr>
          <w:cantSplit/>
        </w:trPr>
        <w:tc>
          <w:tcPr>
            <w:tcW w:w="6054" w:type="dxa"/>
          </w:tcPr>
          <w:p>
            <w:r>
              <w:rPr>
                <w:sz w:val="16"/>
              </w:rPr>
              <w:t xml:space="preserve">Дисциплинарные модели лотов с разделением по разделам проекта и корпусам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Исходный формат применяемой системы проектирования и IFC</w:t>
            </w:r>
          </w:p>
        </w:tc>
      </w:tr>
      <w:tr>
        <w:trPr>
          <w:cantSplit/>
        </w:trPr>
        <w:tc>
          <w:tcPr>
            <w:tcW w:w="6054" w:type="dxa"/>
          </w:tcPr>
          <w:p>
            <w:r>
              <w:rPr>
                <w:sz w:val="16"/>
              </w:rPr>
              <w:t xml:space="preserve">Модели оборудования (библиотечные компоненты)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STEP</w:t>
            </w:r>
          </w:p>
        </w:tc>
      </w:tr>
      <w:tr>
        <w:trPr>
          <w:cantSplit/>
        </w:trPr>
        <w:tc>
          <w:tcPr>
            <w:tcW w:w="6054" w:type="dxa"/>
          </w:tcPr>
          <w:p>
            <w:r>
              <w:rPr>
                <w:sz w:val="16"/>
              </w:rPr>
              <w:t xml:space="preserve">Сводная модель комплекса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IFC</w:t>
            </w:r>
          </w:p>
        </w:tc>
      </w:tr>
      <w:tr>
        <w:trPr>
          <w:cantSplit/>
        </w:trPr>
        <w:tc>
          <w:tcPr>
            <w:tcW w:w="6054" w:type="dxa"/>
          </w:tcPr>
          <w:p>
            <w:r>
              <w:rPr>
                <w:sz w:val="16"/>
              </w:rPr>
              <w:t xml:space="preserve">Отчёт «Описание ЦИМ» — настоящий документ очередной ревизии</w:t>
            </w:r>
          </w:p>
        </w:tc>
        <w:tc>
          <w:tcPr>
            <w:tcW w:w="3300" w:type="dxa"/>
          </w:tcPr>
          <w:p>
            <w:r>
              <w:rPr>
                <w:sz w:val="16"/>
              </w:rPr>
              <w:t xml:space="preserve">PDF; редактируемые форматы — опционально</w:t>
            </w:r>
          </w:p>
        </w:tc>
      </w:tr>
    </w:tbl>
    <w:p>
      <w:r>
        <w:rPr>
          <w:color w:val="666666"/>
          <w:sz w:val="17"/>
        </w:rPr>
        <w:t xml:space="preserve">Источник: Приложение №4 к техническому заданию — техническое задание на ЦИМ, редакция 2 от 25.08.2026, данные, передаваемые Заказчику; выгрузка промежуточных ЦИМ; совещания.</w:t>
      </w:r>
    </w:p>
    <w:p>
      <w:pPr>
        <w:pStyle w:val="Heading2"/>
      </w:pPr>
      <w:r>
        <w:rPr>
          <w:b/>
          <w:sz w:val="24"/>
        </w:rPr>
        <w:t xml:space="preserve">Сроки выполнения этапа</w:t>
      </w:r>
    </w:p>
    <w:p>
      <w:r>
        <w:rPr>
          <w:sz w:val="20"/>
        </w:rPr>
        <w:t xml:space="preserve">Этап моделирования выполняется по плану-графику Базового инжиниринга. Приведённые сроки являются плановыми и уточняются при заключении договора.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000"/>
        <w:gridCol w:w="2354"/>
      </w:tblGrid>
      <w:tr>
        <w:trPr>
          <w:cantSplit/>
          <w:tblHeader/>
        </w:trPr>
        <w:tc>
          <w:tcPr>
            <w:tcW w:w="7000" w:type="dxa"/>
            <w:shd w:val="clear" w:fill="EFEFEF"/>
          </w:tcPr>
          <w:p>
            <w:r>
              <w:rPr>
                <w:b/>
                <w:sz w:val="16"/>
              </w:rPr>
              <w:t xml:space="preserve">Работа</w:t>
            </w:r>
          </w:p>
        </w:tc>
        <w:tc>
          <w:tcPr>
            <w:tcW w:w="2354" w:type="dxa"/>
            <w:shd w:val="clear" w:fill="EFEFEF"/>
          </w:tcPr>
          <w:p>
            <w:r>
              <w:rPr>
                <w:b/>
                <w:sz w:val="16"/>
              </w:rPr>
              <w:t xml:space="preserve">Плановые сроки</w:t>
            </w:r>
          </w:p>
        </w:tc>
      </w:tr>
      <w:tr>
        <w:trPr>
          <w:cantSplit/>
        </w:trPr>
        <w:tc>
          <w:tcPr>
            <w:tcW w:w="7000" w:type="dxa"/>
          </w:tcPr>
          <w:p>
            <w:r>
              <w:rPr>
                <w:sz w:val="16"/>
              </w:rPr>
              <w:t xml:space="preserve">Согласование с Заказчиком применяемого программного обеспечения моделирования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08.09–26.09.2026</w:t>
            </w:r>
          </w:p>
        </w:tc>
      </w:tr>
      <w:tr>
        <w:trPr>
          <w:cantSplit/>
        </w:trPr>
        <w:tc>
          <w:tcPr>
            <w:tcW w:w="7000" w:type="dxa"/>
          </w:tcPr>
          <w:p>
            <w:r>
              <w:rPr>
                <w:sz w:val="16"/>
              </w:rPr>
              <w:t xml:space="preserve">Дисциплинарные модели лотов, разделы ТХ и ЭОМ, СС, АК — уровень детализации по Приложению 1; выгрузка моделей в формате IFC 1 раз в 4 недели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13.10–19.12.2026</w:t>
            </w:r>
          </w:p>
        </w:tc>
      </w:tr>
      <w:tr>
        <w:trPr>
          <w:cantSplit/>
        </w:trPr>
        <w:tc>
          <w:tcPr>
            <w:tcW w:w="7000" w:type="dxa"/>
          </w:tcPr>
          <w:p>
            <w:r>
              <w:rPr>
                <w:sz w:val="16"/>
              </w:rPr>
              <w:t xml:space="preserve">Сводная модель комплекса, проверка коллизий, отчёт «Описание ЦИМ»</w:t>
            </w:r>
          </w:p>
        </w:tc>
        <w:tc>
          <w:tcPr>
            <w:tcW w:w="2354" w:type="dxa"/>
          </w:tcPr>
          <w:p>
            <w:r>
              <w:rPr>
                <w:sz w:val="16"/>
              </w:rPr>
              <w:t xml:space="preserve">08.12–26.12.2026</w:t>
            </w:r>
          </w:p>
        </w:tc>
      </w:tr>
    </w:tbl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 отдельного этапа выпуска материалов модели не задан ни техническим заданием, ни проектом этапности выполнения работ; срок этапа фиксируется в договоре и календарном плане.</w:t>
      </w:r>
    </w:p>
    <w:p>
      <w:r>
        <w:rPr>
          <w:color w:val="666666"/>
          <w:sz w:val="17"/>
        </w:rPr>
        <w:t xml:space="preserve">Источник: план-график выполнения Базового инжиниринга (решения БИ); Техническое задание на выполнение Базового инжиниринга ред. 4.1 от 25.08.2026, раздел «Прочие условия».</w:t>
      </w:r>
    </w:p>
    <w:p>
      <w:pPr>
        <w:pStyle w:val="Heading1"/>
      </w:pPr>
      <w:r>
        <w:rPr>
          <w:b/>
          <w:sz w:val="28"/>
        </w:rPr>
        <w:t xml:space="preserve">Контроль качества модели</w:t>
      </w:r>
    </w:p>
    <w:p>
      <w:r>
        <w:rPr>
          <w:sz w:val="20"/>
        </w:rPr>
        <w:t xml:space="preserve">Перед сдачей моделей Заказчику Исполнитель выполняет перечень проверок, установленный техническим заданием на ЦИМ применительно к этапу разработки. Результаты проверок фиксируются и вносятся в настоящий отчёт очередной ревизией.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754"/>
        <w:gridCol w:w="2600"/>
      </w:tblGrid>
      <w:tr>
        <w:trPr>
          <w:cantSplit/>
          <w:tblHeader/>
        </w:trPr>
        <w:tc>
          <w:tcPr>
            <w:tcW w:w="6754" w:type="dxa"/>
            <w:shd w:val="clear" w:fill="EFEFEF"/>
          </w:tcPr>
          <w:p>
            <w:r>
              <w:rPr>
                <w:b/>
                <w:sz w:val="16"/>
              </w:rPr>
              <w:t xml:space="preserve">Проверка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6"/>
              </w:rPr>
              <w:t xml:space="preserve">Основание в техническом задании на ЦИМ</w:t>
            </w:r>
          </w:p>
        </w:tc>
      </w:tr>
      <w:tr>
        <w:trPr>
          <w:cantSplit/>
        </w:trPr>
        <w:tc>
          <w:tcPr>
            <w:tcW w:w="6754" w:type="dxa"/>
          </w:tcPr>
          <w:p>
            <w:r>
              <w:rPr>
                <w:sz w:val="16"/>
              </w:rPr>
              <w:t xml:space="preserve">Проверка системы координат файлов и пространственного положения моделей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раздел 4.3</w:t>
            </w:r>
          </w:p>
        </w:tc>
      </w:tr>
      <w:tr>
        <w:trPr>
          <w:cantSplit/>
        </w:trPr>
        <w:tc>
          <w:tcPr>
            <w:tcW w:w="6754" w:type="dxa"/>
          </w:tcPr>
          <w:p>
            <w:r>
              <w:rPr>
                <w:sz w:val="16"/>
              </w:rPr>
              <w:t xml:space="preserve">Проверка соответствия документации переданной ЦИМ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раздел 4.1</w:t>
            </w:r>
          </w:p>
        </w:tc>
      </w:tr>
      <w:tr>
        <w:trPr>
          <w:cantSplit/>
        </w:trPr>
        <w:tc>
          <w:tcPr>
            <w:tcW w:w="6754" w:type="dxa"/>
          </w:tcPr>
          <w:p>
            <w:r>
              <w:rPr>
                <w:sz w:val="16"/>
              </w:rPr>
              <w:t xml:space="preserve">Проверка уровня информационной детализации модели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Приложение 1, раздел 4.2</w:t>
            </w:r>
          </w:p>
        </w:tc>
      </w:tr>
      <w:tr>
        <w:trPr>
          <w:cantSplit/>
        </w:trPr>
        <w:tc>
          <w:tcPr>
            <w:tcW w:w="6754" w:type="dxa"/>
          </w:tcPr>
          <w:p>
            <w:r>
              <w:rPr>
                <w:sz w:val="16"/>
              </w:rPr>
              <w:t xml:space="preserve">Проверка на коллизии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раздел 4.1</w:t>
            </w:r>
          </w:p>
        </w:tc>
      </w:tr>
      <w:tr>
        <w:trPr>
          <w:cantSplit/>
        </w:trPr>
        <w:tc>
          <w:tcPr>
            <w:tcW w:w="6754" w:type="dxa"/>
          </w:tcPr>
          <w:p>
            <w:r>
              <w:rPr>
                <w:sz w:val="16"/>
              </w:rPr>
              <w:t xml:space="preserve">Проверка на дублирование компонентов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раздел 4.1</w:t>
            </w:r>
          </w:p>
        </w:tc>
      </w:tr>
      <w:tr>
        <w:trPr>
          <w:cantSplit/>
        </w:trPr>
        <w:tc>
          <w:tcPr>
            <w:tcW w:w="6754" w:type="dxa"/>
          </w:tcPr>
          <w:p>
            <w:r>
              <w:rPr>
                <w:sz w:val="16"/>
              </w:rPr>
              <w:t xml:space="preserve">Проверка правильности наименования передаваемых файлов</w:t>
            </w:r>
          </w:p>
        </w:tc>
        <w:tc>
          <w:tcPr>
            <w:tcW w:w="2600" w:type="dxa"/>
          </w:tcPr>
          <w:p>
            <w:r>
              <w:rPr>
                <w:sz w:val="16"/>
              </w:rPr>
              <w:t xml:space="preserve">раздел 7.2</w:t>
            </w:r>
          </w:p>
        </w:tc>
      </w:tr>
    </w:tbl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 разделе контроля качества текст требований ссылается на перечень проверок в таблице 4, тогда как перечень приведён в таблице 3; ссылку предлагается исправить при очередной редакции технического задания.</w:t>
      </w:r>
    </w:p>
    <w:p>
      <w:pPr>
        <w:pStyle w:val="Heading2"/>
      </w:pPr>
      <w:r>
        <w:rPr>
          <w:b/>
          <w:sz w:val="24"/>
        </w:rPr>
        <w:t xml:space="preserve">Входной автоматический контроль файлов</w:t>
      </w:r>
    </w:p>
    <w:p>
      <w:r>
        <w:rPr>
          <w:sz w:val="20"/>
        </w:rPr>
        <w:t xml:space="preserve">Формальная часть перечня проверок выполняется автоматически при приёмке каждой выгрузки IFC — до передачи файлов в среду общих данных Заказчика и до сборки сводной модели. Замечание формируется адресно: указывается идентификатор GlobalId и наименование элемента. Результат оформляется актом входного контроля.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00"/>
        <w:gridCol w:w="2200"/>
        <w:gridCol w:w="5354"/>
        <w:gridCol w:w="1300"/>
      </w:tblGrid>
      <w:tr>
        <w:trPr>
          <w:cantSplit/>
          <w:tblHeader/>
        </w:trPr>
        <w:tc>
          <w:tcPr>
            <w:tcW w:w="500" w:type="dxa"/>
            <w:shd w:val="clear" w:fill="EFEFEF"/>
          </w:tcPr>
          <w:p>
            <w:r>
              <w:rPr>
                <w:b/>
                <w:sz w:val="16"/>
              </w:rPr>
              <w:t xml:space="preserve">№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6"/>
              </w:rPr>
              <w:t xml:space="preserve">Проверяемое требование</w:t>
            </w:r>
          </w:p>
        </w:tc>
        <w:tc>
          <w:tcPr>
            <w:tcW w:w="5354" w:type="dxa"/>
            <w:shd w:val="clear" w:fill="EFEFEF"/>
          </w:tcPr>
          <w:p>
            <w:r>
              <w:rPr>
                <w:b/>
                <w:sz w:val="16"/>
              </w:rPr>
              <w:t xml:space="preserve">Критерий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6"/>
              </w:rPr>
              <w:t xml:space="preserve">Серьёзность</w:t>
            </w:r>
          </w:p>
        </w:tc>
      </w:tr>
      <w:tr>
        <w:trPr>
          <w:cantSplit/>
        </w:trPr>
        <w:tc>
          <w:tcPr>
            <w:tcW w:w="5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Наименование файла и его объём</w:t>
            </w:r>
          </w:p>
        </w:tc>
        <w:tc>
          <w:tcPr>
            <w:tcW w:w="5354" w:type="dxa"/>
          </w:tcPr>
          <w:p>
            <w:r>
              <w:rPr>
                <w:sz w:val="16"/>
              </w:rPr>
              <w:t xml:space="preserve">Имя из блоков через знак подчёркивания без пробелов: шифр, стадия, объект, марка, содержание, разработчик, программное обеспечение; размер файла не более 500 МБ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w="5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Структура и единицы модели</w:t>
            </w:r>
          </w:p>
        </w:tc>
        <w:tc>
          <w:tcPr>
            <w:tcW w:w="5354" w:type="dxa"/>
          </w:tcPr>
          <w:p>
            <w:r>
              <w:rPr>
                <w:sz w:val="16"/>
              </w:rPr>
              <w:t xml:space="preserve">Иерархия «проект — участок — здание — этаж»; единицы длины в миллиметрах или метрах, площади в квадратных метрах, объёма в кубических метрах; версия схемы из числа допустимых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w="50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Привязка и наименование элементов</w:t>
            </w:r>
          </w:p>
        </w:tc>
        <w:tc>
          <w:tcPr>
            <w:tcW w:w="5354" w:type="dxa"/>
          </w:tcPr>
          <w:p>
            <w:r>
              <w:rPr>
                <w:sz w:val="16"/>
              </w:rPr>
              <w:t xml:space="preserve">Каждый элемент отнесён к этажу и имеет непустое наименование по принятой конвенции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существенно</w:t>
            </w:r>
          </w:p>
        </w:tc>
      </w:tr>
      <w:tr>
        <w:trPr>
          <w:cantSplit/>
        </w:trPr>
        <w:tc>
          <w:tcPr>
            <w:tcW w:w="50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Информационная детализация</w:t>
            </w:r>
          </w:p>
        </w:tc>
        <w:tc>
          <w:tcPr>
            <w:tcW w:w="5354" w:type="dxa"/>
          </w:tcPr>
          <w:p>
            <w:r>
              <w:rPr>
                <w:sz w:val="16"/>
              </w:rPr>
              <w:t xml:space="preserve">У элемента присутствует набор свойств с атрибутами групп Приложения 1 для стадии БИ по разделу модели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существенно</w:t>
            </w:r>
          </w:p>
        </w:tc>
      </w:tr>
      <w:tr>
        <w:trPr>
          <w:cantSplit/>
        </w:trPr>
        <w:tc>
          <w:tcPr>
            <w:tcW w:w="50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Геометрия и положение</w:t>
            </w:r>
          </w:p>
        </w:tc>
        <w:tc>
          <w:tcPr>
            <w:tcW w:w="5354" w:type="dxa"/>
          </w:tcPr>
          <w:p>
            <w:r>
              <w:rPr>
                <w:sz w:val="16"/>
              </w:rPr>
              <w:t xml:space="preserve">Отсутствуют вырожденные и пустые тела (габарит менее 0,1 мм); все элементы находятся в пределах 2 км от начала координат — контроль ошибки привязки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w="50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2200" w:type="dxa"/>
          </w:tcPr>
          <w:p>
            <w:r>
              <w:rPr>
                <w:sz w:val="16"/>
              </w:rPr>
              <w:t xml:space="preserve">Идентификаторы элементов</w:t>
            </w:r>
          </w:p>
        </w:tc>
        <w:tc>
          <w:tcPr>
            <w:tcW w:w="5354" w:type="dxa"/>
          </w:tcPr>
          <w:p>
            <w:r>
              <w:rPr>
                <w:sz w:val="16"/>
              </w:rPr>
              <w:t xml:space="preserve">Отсутствуют дубликаты GlobalId; формат идентификатора — 22 символа</w:t>
            </w:r>
          </w:p>
        </w:tc>
        <w:tc>
          <w:tcPr>
            <w:tcW w:w="1300" w:type="dxa"/>
          </w:tcPr>
          <w:p>
            <w:r>
              <w:rPr>
                <w:sz w:val="16"/>
              </w:rPr>
              <w:t xml:space="preserve">критично</w:t>
            </w:r>
          </w:p>
        </w:tc>
      </w:tr>
    </w:tbl>
    <w:p>
      <w:r>
        <w:rPr>
          <w:sz w:val="20"/>
        </w:rPr>
        <w:t xml:space="preserve">Вердикт по результатам входного контроля: «принято» — замечаний нет; «принято с замечаниями» — выявлены замечания уровня «существенно», модель принимается, замечания устраняются к следующей выгрузке; «возврат на доработку» — выявлено хотя бы одно замечание уровня «критично», файл Заказчику не передаётся.</w:t>
      </w:r>
    </w:p>
    <w:p>
      <w:r>
        <w:rPr>
          <w:i/>
          <w:color w:val="555555"/>
          <w:sz w:val="18"/>
        </w:rPr>
        <w:t xml:space="preserve">Входной автоматический контроль не заменяет проверку коллизий, сверку модели с документацией и визуальную оценку графической детализации — эти проверки выполняются отдельно.</w:t>
      </w:r>
    </w:p>
    <w:p>
      <w:r>
        <w:rPr>
          <w:color w:val="666666"/>
          <w:sz w:val="17"/>
        </w:rPr>
        <w:t xml:space="preserve">Источник: средства контроля качества моделей Исполнителя; Приложение №4 к техническому заданию — техническое задание на ЦИМ, редакция 2 от 25.08.2026, требования к контролю качества и к файлам формата IFC.</w:t>
      </w:r>
    </w:p>
    <w:p>
      <w:pPr>
        <w:pStyle w:val="Heading2"/>
      </w:pPr>
      <w:r>
        <w:rPr>
          <w:b/>
          <w:sz w:val="24"/>
        </w:rPr>
        <w:t xml:space="preserve">Порядок проверки коллизий</w:t>
      </w:r>
    </w:p>
    <w:p>
      <w:r>
        <w:rPr>
          <w:sz w:val="20"/>
        </w:rPr>
        <w:t xml:space="preserve">Проверка коллизий выполняется на сводной модели комплекса, собираемой из дисциплинарных моделей лотов и строительной подосновы. Проверка автоматическая, по наборам элементов; выявленные пересечения регистрируются и систематически разрешаются с внесением изменений в дисциплинарные модели. Результаты каждого цикла — перечень выявленных коллизий с указанием статуса разрешения.</w:t>
      </w:r>
    </w:p>
    <w:p>
      <w:r>
        <w:rPr>
          <w:sz w:val="20"/>
        </w:rPr>
        <w:t xml:space="preserve">Действующая редакция требований переиздала перечень проверок без деления по стадиям и без числовых допусков пересечения. Исполнитель применяет набор проверок стадии П исходной редакции требований: допуск 100 мм — для пар с участием строительных конструкций и укрупнённых трасс, допуск 20 мм — для пар технологического оборудования и инженерных систем между собой. Применяемые наборы и допуски подлежат подтверждению протоколом.</w:t>
      </w:r>
    </w:p>
    <w:p>
      <w:r>
        <w:rPr>
          <w:sz w:val="20"/>
        </w:rPr>
        <w:t xml:space="preserve">Ключевые узлы проверки, определённые компоновочными решениями лотов, приведены в таблице. Эти узлы контролируются в каждом цикле проверки независимо от результатов автоматического прогона.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00"/>
        <w:gridCol w:w="2600"/>
        <w:gridCol w:w="6054"/>
      </w:tblGrid>
      <w:tr>
        <w:trPr>
          <w:cantSplit/>
          <w:tblHeader/>
        </w:trPr>
        <w:tc>
          <w:tcPr>
            <w:tcW w:w="700" w:type="dxa"/>
            <w:shd w:val="clear" w:fill="EFEFEF"/>
          </w:tcPr>
          <w:p>
            <w:r>
              <w:rPr>
                <w:b/>
                <w:sz w:val="15"/>
              </w:rPr>
              <w:t xml:space="preserve">Лот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Узел</w:t>
            </w:r>
          </w:p>
        </w:tc>
        <w:tc>
          <w:tcPr>
            <w:tcW w:w="6054" w:type="dxa"/>
            <w:shd w:val="clear" w:fill="EFEFEF"/>
          </w:tcPr>
          <w:p>
            <w:r>
              <w:rPr>
                <w:b/>
                <w:sz w:val="15"/>
              </w:rPr>
              <w:t xml:space="preserve">Контролируемое пересечение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№1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Газоходный тракт и обслуживание тягодутьевого оборудования</w:t>
            </w:r>
          </w:p>
        </w:tc>
        <w:tc>
          <w:tcPr>
            <w:tcW w:w="6054" w:type="dxa"/>
          </w:tcPr>
          <w:p>
            <w:r>
              <w:rPr>
                <w:sz w:val="15"/>
              </w:rPr>
              <w:t xml:space="preserve">Газоходы диаметром 2000 и 1100 мм с металлоконструкциями этажерок и площадок; зоны выкатки роторов дымососов с оборудованием и конструкциями; зона раскладки футеровки с путём подачи шамота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№2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Вертикальная компоновка выпарной установки</w:t>
            </w:r>
          </w:p>
        </w:tc>
        <w:tc>
          <w:tcPr>
            <w:tcW w:w="6054" w:type="dxa"/>
          </w:tcPr>
          <w:p>
            <w:r>
              <w:rPr>
                <w:sz w:val="15"/>
              </w:rPr>
              <w:t xml:space="preserve">Верх барометрических конденсаторов на отметках плюс 11,0…плюс 11,5 м при низе ферм плюс 12,4…плюс 12,9 м — остаточный запас 0,9—1,9 м; пересечение стояков с крановыми зонами; приямки гидрозатворов со свайными ростверками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№3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Межрядное пространство серии электроэкстракции</w:t>
            </w:r>
          </w:p>
        </w:tc>
        <w:tc>
          <w:tcPr>
            <w:tcW w:w="6054" w:type="dxa"/>
          </w:tcPr>
          <w:p>
            <w:r>
              <w:rPr>
                <w:sz w:val="15"/>
              </w:rPr>
              <w:t xml:space="preserve">Траверса с матрицами и колпаки соседних ванн с фермами покрытия; сборный воздуховод с коллекторами электролита (наиболее плотный узел компоновки); шинные мосты с проходами и металлоконструкциями; рельсы нутч-фильтра с фундаментами и дренажом; конвейер пакетов со строительными конструкциями по трассе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№4</w:t>
            </w:r>
          </w:p>
        </w:tc>
        <w:tc>
          <w:tcPr>
            <w:tcW w:w="2600" w:type="dxa"/>
          </w:tcPr>
          <w:p>
            <w:r>
              <w:rPr>
                <w:sz w:val="15"/>
              </w:rPr>
              <w:t xml:space="preserve">Транспортные габариты склада</w:t>
            </w:r>
          </w:p>
        </w:tc>
        <w:tc>
          <w:tcPr>
            <w:tcW w:w="6054" w:type="dxa"/>
          </w:tcPr>
          <w:p>
            <w:r>
              <w:rPr>
                <w:sz w:val="15"/>
              </w:rPr>
              <w:t xml:space="preserve">Габариты проездов штабелёров; габарит приближения железнодорожного подвижного состава внутри корпуса; зоны обслуживания весов и крана; высота мачты штабелёра в проёме ворот не менее 3,5 м</w:t>
            </w:r>
          </w:p>
        </w:tc>
      </w:tr>
    </w:tbl>
    <w:p>
      <w:r>
        <w:rPr>
          <w:color w:val="666666"/>
          <w:sz w:val="17"/>
        </w:rPr>
        <w:t xml:space="preserve">Источник: компоновочные решения по лотам №1—№4 (решения БИ); Приложение №4 к техническому заданию — техническое задание на ЦИМ, редакция 2 от 25.08.2026, перечень проверок; наборы и правила проверки (Приложение 3).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применимость отдельных пар проверок к составу каждого лота и числовые допуски пересечения — согласовываются с Заказчиком протоколом до начала проверок.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источник строительной подосновы моделей лотов №2—№4 — обмерная модель существующих зданий либо строительная модель Генерального проектировщика; исполнитель обмеров и состав материалов, а также регламент объединения моделей в среде общих данных не определены.</w:t>
      </w:r>
    </w:p>
    <w:p>
      <w:pPr>
        <w:pStyle w:val="Heading1"/>
      </w:pPr>
      <w:r>
        <w:rPr>
          <w:b/>
          <w:sz w:val="28"/>
        </w:rPr>
        <w:t xml:space="preserve">Требования, выходящие за стадию Базового инжиниринга</w:t>
      </w:r>
    </w:p>
    <w:p>
      <w:r>
        <w:rPr>
          <w:sz w:val="20"/>
        </w:rPr>
        <w:t xml:space="preserve">Пакет требований к ЦИМ построен на общем шаблоне и в исходной редакции содержал требования проектной и рабочей документации — стадий, которые выполняет генеральный проектировщик по данным изготовителей оборудования и результатам изысканий. Часть таких требований снята редакцией 2 технического задания на ЦИМ; оставшиеся приведены ниже с позицией Исполнителя. Отнесение подлежит подтверждению Заказчиком протоколом до заключения договора.</w:t>
      </w:r>
    </w:p>
    <w:p>
      <w:r>
        <w:rPr>
          <w:i/>
          <w:color w:val="555555"/>
          <w:sz w:val="18"/>
        </w:rPr>
        <w:t xml:space="preserve">Графа «Статус в редакции 2» показывает, учтено ли требование действующей редакцией технического задания на ЦИМ: «снято» — требование из документа исключено; «изменено» — требование сохранено в изменённой формулировке; «сохранено» — требование действует без изменений.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00"/>
        <w:gridCol w:w="2500"/>
        <w:gridCol w:w="1500"/>
        <w:gridCol w:w="1450"/>
        <w:gridCol w:w="3204"/>
      </w:tblGrid>
      <w:tr>
        <w:trPr>
          <w:cantSplit/>
          <w:tblHeader/>
        </w:trPr>
        <w:tc>
          <w:tcPr>
            <w:tcW w:w="700" w:type="dxa"/>
            <w:shd w:val="clear" w:fill="EFEFEF"/>
          </w:tcPr>
          <w:p>
            <w:r>
              <w:rPr>
                <w:b/>
                <w:sz w:val="15"/>
              </w:rPr>
              <w:t xml:space="preserve">Пункт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</w:t>
            </w:r>
          </w:p>
        </w:tc>
        <w:tc>
          <w:tcPr>
            <w:tcW w:w="15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требования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5"/>
              </w:rPr>
              <w:t xml:space="preserve">Статус в редакции 2</w:t>
            </w:r>
          </w:p>
        </w:tc>
        <w:tc>
          <w:tcPr>
            <w:tcW w:w="3204" w:type="dxa"/>
            <w:shd w:val="clear" w:fill="EFEFEF"/>
          </w:tcPr>
          <w:p>
            <w:r>
              <w:rPr>
                <w:b/>
                <w:sz w:val="15"/>
              </w:rPr>
              <w:t xml:space="preserve">Позиция Исполнителя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M-01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Цель: выпуск ПД и РД в полном объёме из ЦИМ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Основной текст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Подлежит фиксации: цель ЦИМ на этапе БИ — модель технологического передела для компоновочных решений и передачи генеральному проектировщику. Выпуск проектной и рабочей документации из ЦИМ — стадии проектной и рабочей документации, за рамками БИ.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M-02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Статус модели БИ: «Проектная ЦИМ стадии П»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Основной текст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Подлежит согласованию с Заказчиком статус модели: на стадии БИ передаётся «ЦИМ технологического передела уровня базового инжиниринга (LOD 200)» — компоновка, габариты, зоны обслуживания, основные трубопроводы. Требования стадии П применяются к ней в части, согласованной протоколом.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M-10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Спецификация из ЦИМ «для стадии Р»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Основной текст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Исключается из объёма БИ (переносится на стадию Р детального инжиниринга).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M-11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LandXML: цифровая модель рельефа, поверхности рельефа, трассы, внешние сети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Основной текст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Подлежит уточнению применимость требования: если границы БИ — технологический передел (как в техническом задании), позиции LandXML к объёму БИ не относятся; передаются только модели передела.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M-13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Приложение 6: «ПД и РД должна выпускаться из ЦИМ»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6 (стадии П и Р)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Подлежит фиксации протоколом: Приложение 6 применяется к объёму БИ только в части требований к моделям передела (габариты, зоны обслуживания, коды); выпуск проектной и рабочей документации — вне объёма БИ.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M-14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Приложение 6: отверстия — физические вырезы «по рабочей документации»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6 (стадии П и Р)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Переносится на детальный инжиниринг. На стадии БИ — предварительные проёмы под крупногабаритное оборудование (монтажные проёмы) без «физического вырезания» по РД.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M-23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Приложение 5: монтажные модели по отправочным маркам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5 (компоненты)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Сохранено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Переносится на детальный инжиниринг и этап поставки. На стадии БИ — габаритная модель агрегата целиком.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M-24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Приложение 5: временные элементы для строительно-монтажных и пусконаладочных работ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5 (компоненты)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Переносится на детальный инжиниринг и в состав проекта производства работ.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M-26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Проверки коллизий: стадия Р (везде 20 мм)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3 (проверки)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Переносится на стадию Р детального инжиниринга.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M-31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Приложение 2: планировочная организация земельного участка (благоустройство: малые архитектурные формы, цветники, шлагбаумы)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2 (LOD и LOI)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Подлежит уточнению: раздел планировочной организации земельного участка к объёму БИ не относится (границы — передел). При подтверждении Заказчиком — исключается.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M-32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Приложение 2: листы стадии Р (7 листов)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2 (LOD и LOI)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Исключается из объёма БИ; применяются на стадии Р детального инжиниринга.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5"/>
              </w:rPr>
              <w:t xml:space="preserve">M-33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Приложение 2: атрибут «Завод-изготовитель» в LOI</w:t>
            </w:r>
          </w:p>
        </w:tc>
        <w:tc>
          <w:tcPr>
            <w:tcW w:w="1500" w:type="dxa"/>
          </w:tcPr>
          <w:p>
            <w:r>
              <w:rPr>
                <w:sz w:val="15"/>
              </w:rPr>
              <w:t xml:space="preserve">Приложение 2 (LOD и LOI)</w:t>
            </w:r>
          </w:p>
        </w:tc>
        <w:tc>
          <w:tcPr>
            <w:tcW w:w="1450" w:type="dxa"/>
          </w:tcPr>
          <w:p>
            <w:r>
              <w:rPr>
                <w:sz w:val="15"/>
              </w:rPr>
              <w:t xml:space="preserve">Снято в редакции 2</w:t>
            </w:r>
          </w:p>
        </w:tc>
        <w:tc>
          <w:tcPr>
            <w:tcW w:w="3204" w:type="dxa"/>
          </w:tcPr>
          <w:p>
            <w:r>
              <w:rPr>
                <w:sz w:val="15"/>
              </w:rPr>
              <w:t xml:space="preserve">Атрибуты изготовителя — детальный инжиниринг и исполнительная модель.</w:t>
            </w:r>
          </w:p>
        </w:tc>
      </w:tr>
    </w:tbl>
    <w:p>
      <w:r>
        <w:rPr>
          <w:color w:val="666666"/>
          <w:sz w:val="17"/>
        </w:rPr>
        <w:t xml:space="preserve">Источник: анализ состава документации Базового инжиниринга по пунктам технического задания ред. 4.1 и приложений (решения БИ); Приложение №4 к техническому заданию — техническое задание на ЦИМ, редакция 2 от 25.08.2026; EN 16310:2013 и ГОСТ Р 21.101-2020 — границы стадий.</w:t>
      </w:r>
    </w:p>
    <w:p>
      <w:pPr>
        <w:pStyle w:val="Heading2"/>
      </w:pPr>
      <w:r>
        <w:rPr>
          <w:b/>
          <w:sz w:val="24"/>
        </w:rPr>
        <w:t xml:space="preserve">Требования, принятые к исполнению в изменённой формулировке</w:t>
      </w:r>
    </w:p>
    <w:p>
      <w:r>
        <w:rPr>
          <w:sz w:val="20"/>
        </w:rPr>
        <w:t xml:space="preserve">Приведённые ниже требования действуют на стадии БИ в формулировке действующей редакции; различия с исходной редакцией пакета учтены в составе и сроках работ.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00"/>
        <w:gridCol w:w="3400"/>
        <w:gridCol w:w="5254"/>
      </w:tblGrid>
      <w:tr>
        <w:trPr>
          <w:cantSplit/>
          <w:tblHeader/>
        </w:trPr>
        <w:tc>
          <w:tcPr>
            <w:tcW w:w="700" w:type="dxa"/>
            <w:shd w:val="clear" w:fill="EFEFEF"/>
          </w:tcPr>
          <w:p>
            <w:r>
              <w:rPr>
                <w:b/>
                <w:sz w:val="16"/>
              </w:rPr>
              <w:t xml:space="preserve">Пункт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6"/>
              </w:rPr>
              <w:t xml:space="preserve">Требование исходной редакции</w:t>
            </w:r>
          </w:p>
        </w:tc>
        <w:tc>
          <w:tcPr>
            <w:tcW w:w="5254" w:type="dxa"/>
            <w:shd w:val="clear" w:fill="EFEFEF"/>
          </w:tcPr>
          <w:p>
            <w:r>
              <w:rPr>
                <w:b/>
                <w:sz w:val="16"/>
              </w:rPr>
              <w:t xml:space="preserve">Формулировка действующей редакции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6"/>
              </w:rPr>
              <w:t xml:space="preserve">M-04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Инструментальная среда: российское программное обеспечение (Model Studio CS и другие)</w:t>
            </w:r>
          </w:p>
        </w:tc>
        <w:tc>
          <w:tcPr>
            <w:tcW w:w="5254" w:type="dxa"/>
          </w:tcPr>
          <w:p>
            <w:r>
              <w:rPr>
                <w:sz w:val="16"/>
              </w:rPr>
              <w:t xml:space="preserve">Перечень программного обеспечения стал рекомендуемым; применяемое программное обеспечение согласуется с Заказчиком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6"/>
              </w:rPr>
              <w:t xml:space="preserve">M-08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Среда общих данных Заказчика, выгрузка IFC раз в 2 недели</w:t>
            </w:r>
          </w:p>
        </w:tc>
        <w:tc>
          <w:tcPr>
            <w:tcW w:w="5254" w:type="dxa"/>
          </w:tcPr>
          <w:p>
            <w:r>
              <w:rPr>
                <w:sz w:val="16"/>
              </w:rPr>
              <w:t xml:space="preserve">Выгрузка моделей в формате IFC — 1 раз в 4 недели (в исходной редакции пакета — 1 раз в 2 недели)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6"/>
              </w:rPr>
              <w:t xml:space="preserve">M-09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Состав передачи: исходные файлы, IFC, LandXML, сводная модель, описание</w:t>
            </w:r>
          </w:p>
        </w:tc>
        <w:tc>
          <w:tcPr>
            <w:tcW w:w="5254" w:type="dxa"/>
          </w:tcPr>
          <w:p>
            <w:r>
              <w:rPr>
                <w:sz w:val="16"/>
              </w:rPr>
              <w:t xml:space="preserve">Состав передачи сокращён: модели в исходном формате, модели в формате IFC, сводная модель, отчёт «Описание ЦИМ»; инженерная цифровая модель местности и обменный формат данных о рельефе и трассах из состава исключены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6"/>
              </w:rPr>
              <w:t xml:space="preserve">M-22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Приложение 5: рабочие механизмы (двигатели, датчики) в компонентах</w:t>
            </w:r>
          </w:p>
        </w:tc>
        <w:tc>
          <w:tcPr>
            <w:tcW w:w="5254" w:type="dxa"/>
          </w:tcPr>
          <w:p>
            <w:r>
              <w:rPr>
                <w:sz w:val="16"/>
              </w:rPr>
              <w:t xml:space="preserve">Требование сохранено с оговоркой «при наличии»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6"/>
              </w:rPr>
              <w:t xml:space="preserve">M-25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Проверки коллизий: стадия П (допуски 100 и 20 мм)</w:t>
            </w:r>
          </w:p>
        </w:tc>
        <w:tc>
          <w:tcPr>
            <w:tcW w:w="5254" w:type="dxa"/>
          </w:tcPr>
          <w:p>
            <w:r>
              <w:rPr>
                <w:sz w:val="16"/>
              </w:rPr>
              <w:t xml:space="preserve">Перечень проверок переиздан единой таблицей — без деления по стадиям проектной и рабочей документации и без числовых допусков пересечения 100 и 20 мм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6"/>
              </w:rPr>
              <w:t xml:space="preserve">M-30</w:t>
            </w:r>
          </w:p>
        </w:tc>
        <w:tc>
          <w:tcPr>
            <w:tcW w:w="3400" w:type="dxa"/>
          </w:tcPr>
          <w:p>
            <w:r>
              <w:rPr>
                <w:sz w:val="16"/>
              </w:rPr>
              <w:t xml:space="preserve">Приложение 2: детализация ТХ, а также отопления и вентиляции, водоснабжения и канализации стадии П</w:t>
            </w:r>
          </w:p>
        </w:tc>
        <w:tc>
          <w:tcPr>
            <w:tcW w:w="5254" w:type="dxa"/>
          </w:tcPr>
          <w:p>
            <w:r>
              <w:rPr>
                <w:sz w:val="16"/>
              </w:rPr>
              <w:t xml:space="preserve">Требования к детализации переизданы листом «Стадия БИ_ТХ» нового Приложения 1; листы отопления, вентиляции, водоснабжения и канализации исключены</w:t>
            </w:r>
          </w:p>
        </w:tc>
      </w:tr>
    </w:tbl>
    <w:p>
      <w:r>
        <w:rPr>
          <w:color w:val="666666"/>
          <w:sz w:val="17"/>
        </w:rPr>
        <w:t xml:space="preserve">Источник: анализ состава документации Базового инжиниринга по пунктам технического задания ред. 4.1 и приложений (решения БИ); Приложение №4 к техническому заданию — техническое задание на ЦИМ, редакция 2 от 25.08.2026.</w:t>
      </w:r>
    </w:p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Перечисленные позиции определяются на стадии БИ по мере получения исходных данных Заказчика, согласования протоколов и поступления технико-коммерческих предложений изготовителей. До их закрытия соответствующие разделы настоящего отчёта содержат плановые и предварительные значения.</w:t>
      </w:r>
    </w:p>
    <w:p>
      <w:pPr>
        <w:pStyle w:val="Heading2"/>
      </w:pPr>
      <w:r>
        <w:rPr>
          <w:b/>
          <w:sz w:val="24"/>
        </w:rPr>
        <w:t xml:space="preserve">Согласования с Заказчиком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код стадии и дополнительные обозначения марок в наименовании файлов моделей — таблица стадий содержит единственный код эскизного проекта при объявленном этапе базового инжиниринга; в таблице марок приведены только АК, СС, ТХ и ЭС.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фактические коды применяемого программного обеспечения в наименовании файлов — таблица обозначений кодирует иностранные системы проектирования и черновые версии формата IFC.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состав и версии программного обеспечения моделирования, шаблоны и правила классификации элементов — перечень программного обеспечения в действующей редакции является рекомендуемым; целевой срок согласования — до начала этапа моделирования.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наборы проверок коллизий и числовые допуски пересечения — действующая редакция переиздала перечень проверок без деления по стадиям и без допусков исходной редакции.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уровень графической и информационной детализации модели — фиксируется протоколом до начала моделирования на основе листов «Стадия БИ_ТХ» и «Стадия БИ_ЭОМ,СС,АК» Приложения 1 с изъятиями, приведёнными в разделе о требованиях, выходящих за стадию БИ.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статус промежуточных выгрузок моделей — промежуточные модели передаются в состоянии «в работе»; порядок, исключающий оформление замечаний к незавершённым частям, вносится в договор или протокол.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разграничение ролей сторон в приёмке моделей и ведении среды общих данных — основное техническое задание определяет Заказчика как акционерное общество «Кольская ГМК», техническое задание на ЦИМ — как подразделение группы; техническое задание на ЦИМ утверждено главным инженером акционерного общества «Кольская ГМК».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ссылка в разделе контроля качества на перечень проверок в таблице 4 при фактическом номере таблицы 3 — исправляется при очередной редакции технического задания.</w:t>
      </w:r>
    </w:p>
    <w:p>
      <w:pPr>
        <w:pStyle w:val="Heading2"/>
      </w:pPr>
      <w:r>
        <w:rPr>
          <w:b/>
          <w:sz w:val="24"/>
        </w:rPr>
        <w:t xml:space="preserve">Исходные данные Заказчика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регламент подключения Исполнителя к среде общих данных: порядок доступа, состав пакета выгрузки, требования к именованию в среде — в техническом задании не описаны.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строительная подоснова моделей лотов №2—№4: обмерная модель существующих зданий Гидрометаллургического цеха и Цеха электролиза меди либо строительная модель нового корпуса Генерального проектировщика — исполнитель обмеров, состав и формат материалов не определены; приложения №6 и №7 содержат листы фактических материалов в двумерном виде.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значения привязки моделей: местная система координат, отметки Балтийской системы высот, проектный угол поворота относительно истинного севера.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порядок объединения моделей Исполнителя с моделями Генерального проектировщика в сводной модели комплекса и очерёдность разрешения коллизий на общих границах.</w:t>
      </w:r>
    </w:p>
    <w:p>
      <w:pPr>
        <w:pStyle w:val="Heading2"/>
      </w:pPr>
      <w:r>
        <w:rPr>
          <w:b/>
          <w:sz w:val="24"/>
        </w:rPr>
        <w:t xml:space="preserve">Данные изготовителей оборудования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габаритные размеры оборудования, не заданные исходными данными: габаритное тело компонента выполняется по ТКП изготовителя либо принимается по референсному аналогу с отметкой о предварительном характере.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единиц оборудования и наиболее тяжёлых неразъёмных частей — атрибут набора свойств предусмотрен, значения уточняются по ТКП изготовителей.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расположение рабочих механизмов в составе компонентов оборудования — электродвигателей, пусковой аппаратуры, датчиков: требование действующей редакции выполняется при наличии данных; до получения чертежей изготовителя механизмы моделируются по референсным аналогам.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деление комплектного оборудования на монтажные единицы и отправочные марки — определяется условиями поставки; на стадии БИ выполняется габаритная модель агрегата целиком.</w:t>
      </w:r>
    </w:p>
    <w:p>
      <w:pPr>
        <w:pStyle w:val="Heading2"/>
      </w:pPr>
      <w:r>
        <w:rPr>
          <w:b/>
          <w:sz w:val="24"/>
        </w:rPr>
        <w:t xml:space="preserve">Организация выпуска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 отдельного этапа выпуска материалов модели — техническим заданием и проектом этапности выполнения работ не задан; фиксируется в договоре и календарном плане.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состав и сроки последующих ревизий настоящего отчёта — определяются по результатам рассмотрения Ревизии 0 Заказчиком; фактические сроки создания моделей и объектов информации вносятся в отчёт по факту выполнения этапа.</w:t>
      </w:r>
    </w:p>
    <w:p>
      <w:r>
        <w:rPr>
          <w:color w:val="666666"/>
          <w:sz w:val="17"/>
        </w:rPr>
        <w:t xml:space="preserve">Источник: план работ по информационному моделированию и реестр расхождений технического задания (решения БИ); Приложение №4 к техническому заданию — техническое задание на ЦИМ, редакция 2 от 25.08.2026; Техническое задание на выполнение Базового инжиниринга ред. 4.1 от 25.08.2026.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ОВЭ75-БИ-ОБ-ЦИМ · Цифровая информационная модель стадии БИ: описание и состав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Общее по комплексу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ОВЭ75-БИ-ОБ-ЦИМ · Цифровая информационная модель стадии БИ: описание и состав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