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84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21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14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182"/>
        <w:jc w:val="center"/>
      </w:pPr>
      <w:r>
        <w:rPr>
          <w:rFonts w:ascii="Arial" w:hAnsi="Arial" w:cs="Arial"/>
          <w:sz w:val="22"/>
          <w:szCs w:val="22"/>
        </w:rPr>
        <w:t xml:space="preserve">Общее по комплексу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Ведомость закладных решений для последующей цифровизации</w:t>
      </w:r>
    </w:p>
    <w:p>
      <w:pPr>
        <w:spacing w:before="0" w:after="160"/>
        <w:jc w:val="center"/>
      </w:pPr>
      <w:r>
        <w:rPr>
          <w:rFonts w:ascii="Arial" w:hAnsi="Arial" w:cs="Arial"/>
          <w:color w:val="333333"/>
          <w:sz w:val="22"/>
          <w:szCs w:val="22"/>
        </w:rPr>
        <w:t xml:space="preserve">Закладные элементы и резервы, вносимые в базовый состав проектных решений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14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ОВЭ75-БИ-ОБ-ЗР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105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4953"/>
        <w:gridCol w:w="5099"/>
        <w:gridCol w:w="4518"/>
      </w:tblGrid>
      <w:tr>
        <w:tc>
          <w:tcPr>
            <w:tcW w:w="4953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5099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451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4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00"/>
        <w:gridCol w:w="2000"/>
        <w:gridCol w:w="6970"/>
        <w:gridCol w:w="2100"/>
        <w:gridCol w:w="2100"/>
      </w:tblGrid>
      <w:tr>
        <w:tc>
          <w:tcPr>
            <w:tcW w:w="14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2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697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Прил. 4, Прил. 5.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t xml:space="preserve">Общие сведения</w:t>
      </w:r>
    </w:p>
    <w:p>
      <w:r>
        <w:rPr>
          <w:sz w:val="18"/>
        </w:rPr>
        <w:t xml:space="preserve">Реестр закладных решений для последующей цифровизации комплекса ОВЭ-75. Закладки — гильзы, штуцеры, площадки, каналы, резервы, строки опросных листов, протоколов и заданий — проектируются на стадии базового инжиниринга: дооснащение действующего производства обходится в 3–5 раз дороже закладки в проект и требует остановок технологии, тогда как закладка на стадии БИ стоит около нуля. Реестр — единый источник для пояснительных записок, опросных листов, перечней сигналов, заданий смежникам и настоящей сводной ведомости; каждая запись вносится в базовый состав соответствующего лота. Источник формулировок — «Реестр предложений по повышению эффективности производства, автоматизации и контролю», редакция 2.0 от 28.08.2026 (разд. 1 — базовый состав, разд. 2 — абзацы «Подготовка в базовом составе», разд. 3 — закладные части).</w:t>
      </w:r>
    </w:p>
    <w:p>
      <w:r>
        <w:rPr>
          <w:b/>
          <w:sz w:val="19"/>
        </w:rPr>
        <w:t xml:space="preserve">Сводка: </w:t>
      </w:r>
      <w:r>
        <w:rPr>
          <w:sz w:val="19"/>
        </w:rPr>
        <w:t xml:space="preserve">закладок 46 (Лот №1 — 11, №2 — 6, №3 — 9, №4 — 4, общезаводских — 16). Реестр закладных решений обновлён 28.08.2026.</w:t>
      </w:r>
    </w:p>
    <w:p>
      <w:r>
        <w:rPr>
          <w:color w:val="666666"/>
          <w:sz w:val="18"/>
        </w:rPr>
        <w:t xml:space="preserve">Колонка «Куда внесено» указывает документы Базового инжиниринга, в состав которых включается требование; колонка «Обоснование» — эффект, ради которого закладка вносится в базовый состав.</w:t>
      </w:r>
    </w:p>
    <w:p>
      <w:pPr>
        <w:pStyle w:val="Heading2"/>
      </w:pPr>
      <w:r>
        <w:t xml:space="preserve">Лот №1 · Цех обжига — 11 закладок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1600"/>
        <w:gridCol w:w="4600"/>
        <w:gridCol w:w="2700"/>
        <w:gridCol w:w="3300"/>
        <w:gridCol w:w="1770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7"/>
              </w:rPr>
              <w:t xml:space="preserve">Узел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Требование (закладка в базовый состав)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7"/>
              </w:rPr>
              <w:t xml:space="preserve">Куда внесено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7"/>
              </w:rPr>
              <w:t xml:space="preserve">Обоснование</w:t>
            </w:r>
          </w:p>
        </w:tc>
        <w:tc>
          <w:tcPr>
            <w:tcW w:w="1770" w:type="dxa"/>
            <w:shd w:val="clear" w:fill="EFEFEF"/>
          </w:tcPr>
          <w:p>
            <w:r>
              <w:rPr>
                <w:b/>
                <w:sz w:val="17"/>
              </w:rPr>
              <w:t xml:space="preserve">Источник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Z-01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Печь КС · футеровка</w:t>
            </w:r>
          </w:p>
          <w:p>
            <w:r>
              <w:rPr>
                <w:color w:val="444444"/>
                <w:sz w:val="16"/>
              </w:rPr>
              <w:t xml:space="preserve">Закладные гильзы термопар футеровки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Два-три пояса закладных гильз под кабельные термопары в кладке (12–18 точек по поясам и радиусам) с кабельными выводами; гильзы включаются в задание на проект футеровки до его заказа — установка после кладки невозможна. Дополнительно 4–6 стационарных пирометров по периметру корпуса.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задание на проект футеровки</w:t>
            </w:r>
          </w:p>
          <w:p>
            <w:r>
              <w:rPr>
                <w:sz w:val="16"/>
              </w:rPr>
              <w:t xml:space="preserve">— ОЛ печи КС</w:t>
            </w:r>
          </w:p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Перекладка футеровки по состоянию вместо календарных 3 лет: продление кампании на 6–12 мес возвращает 3–5 суток работы линии в год (250–450 т катодного эквивалента) и даёт раннее обнаружение перегрева корпуса.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4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Z-02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Печь КС</w:t>
            </w:r>
          </w:p>
          <w:p>
            <w:r>
              <w:rPr>
                <w:color w:val="444444"/>
                <w:sz w:val="16"/>
              </w:rPr>
              <w:t xml:space="preserve">Быстрые каналы давления слоя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2–4 быстродействующих датчика давления слоя и газовой коробки с опросом не ниже 100 Гц; веер 8–10 термопар слоя на двух уровнях и четырёх радиусах (регулирование по медиане); контроль моментов забрасывателя и затвора выгрузки; снятие эталонных спектров пульсаций 0,5–5 Гц в программе пусконаладки.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задание на прикладное ПО ПЛК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Предупреждение агломерации слоя за 30–60 минут со штатным переходом на вспомогательное дутьё: слив и чистка слоя занимают 3–7 суток (0,7–1,6 тыс. т недовыпуска); дополнительный КИП 5–8 млн ₽ окупается одной предотвращённой остановкой.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Z-03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Газовый тракт</w:t>
            </w:r>
          </w:p>
          <w:p>
            <w:r>
              <w:rPr>
                <w:color w:val="444444"/>
                <w:sz w:val="16"/>
              </w:rPr>
              <w:t xml:space="preserve">Второй пост газоанализа остаточного O₂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Дублированное измерение остаточного кислорода: пост на выходе печи и второй пост перед сернокислотным цехом, обогреваемые линии отбора, сигналы 4–20 мА/HART; газоанализаторы — длинноцикловая позиция (6–10 мес), вносятся в опросные листы базового инжиниринга.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газоанализа</w:t>
            </w:r>
          </w:p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P&amp;ID</w:t>
            </w:r>
          </w:p>
          <w:p>
            <w:r>
              <w:rPr>
                <w:sz w:val="16"/>
              </w:rPr>
              <w:t xml:space="preserve">— перечень длинноцикловых позиций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Опора контура коррекции обогащения дутья и баланса серы на границе цехов: возврат 5–8 % кислорода без изменения принятой технологии.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Z-04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Граница цеха обжига</w:t>
            </w:r>
          </w:p>
          <w:p>
            <w:r>
              <w:rPr>
                <w:color w:val="444444"/>
                <w:sz w:val="16"/>
              </w:rPr>
              <w:t xml:space="preserve">Узел технического учёта кислорода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Узел учёта кислорода на границе цеха: расходомер в кислородном исполнении с заводским обезжириванием, класс измерения — коммерческий, поставка с первичной поверкой; расчётные показатели нм³/т в системе; приборное подтверждение удельного расхода — в программе гарантийных испытаний.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P&amp;ID</w:t>
            </w:r>
          </w:p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программа гарантийных испытаний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Норма исходных данных 37,1 млн нм³/год превышает балансовую потребность примерно на 16 %; возврат 1,9–3,0 млн нм³/год — порядка 8–15 млн ₽/год.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Z-05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Газовый тракт</w:t>
            </w:r>
          </w:p>
          <w:p>
            <w:r>
              <w:rPr>
                <w:color w:val="444444"/>
                <w:sz w:val="16"/>
              </w:rPr>
              <w:t xml:space="preserve">Термопары холодных точек и зонды коррозии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Сетка 12–20 поверхностных термопар на расчётных холодных точках (бункеры и изоляторные коробки электрофильтров, врезки, компенсаторы, тупиковые участки); расчётный канал кислотной точки росы (218–221 °C при SO₃ 0,72 %) с сигнализацией «запас менее 20 °C»; два-три штуцера под зонды скорости коррозии; формализованные последовательности прогрева и продувки в ПЛК.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ведомость холодных точек</w:t>
            </w:r>
          </w:p>
          <w:p>
            <w:r>
              <w:rPr>
                <w:sz w:val="16"/>
              </w:rPr>
              <w:t xml:space="preserve">— ОЛ электрофильтров (обогрев бункеров)</w:t>
            </w:r>
          </w:p>
          <w:p>
            <w:r>
              <w:rPr>
                <w:sz w:val="16"/>
              </w:rPr>
              <w:t xml:space="preserve">— задание на прикладное ПО ПЛК</w:t>
            </w:r>
          </w:p>
          <w:p>
            <w:r>
              <w:rPr>
                <w:sz w:val="16"/>
              </w:rPr>
              <w:t xml:space="preserve">— спецификация КИП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Одна предотвращённая остановка на ремонт прокорродировавшего участка (2–3 суток раз в два года) сохраняет 200–300 т катодного эквивалента и 5–15 млн ₽ ремонта.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8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Z-06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Электрофильтры</w:t>
            </w:r>
          </w:p>
          <w:p>
            <w:r>
              <w:rPr>
                <w:color w:val="444444"/>
                <w:sz w:val="16"/>
              </w:rPr>
              <w:t xml:space="preserve">Полупериодные контроллеры агрегатов питания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В ОЛ электрофильтров и агрегатов питания: микропроцессорные контроллеры с полупериодным режимом и цифровым интерфейсом; поосная телеметрия напряжения, тока и частоты искрений (12–16 сигналов на аппарат); циклограмма встряхивания последнего поля со снятым питанием с оптимизацией по пылемеру; регистрация вольт-амперных характеристик полей со сравнением с эталоном ПНР. Внести до размещения заказа — аппарат длинноциклового изготовления (9–14 мес).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электрофильтров</w:t>
            </w:r>
          </w:p>
          <w:p>
            <w:r>
              <w:rPr>
                <w:sz w:val="16"/>
              </w:rPr>
              <w:t xml:space="preserve">— ОЛ агрегатов питания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Гарантия остаточной запылённости 0,1 г/нм³ перед сернокислотным цехом (степень очистки 99,5–99,7 %) переносится на изготовителя; попутно минус 30–60 % энергии коронирования (0,1–0,3 млн кВт·ч/год).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4, 6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Z-07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Дымосос, воздуходувка</w:t>
            </w:r>
          </w:p>
          <w:p>
            <w:r>
              <w:rPr>
                <w:color w:val="444444"/>
                <w:sz w:val="16"/>
              </w:rPr>
              <w:t xml:space="preserve">Площадки под вибродатчики и измерительные ТТ 6 кВ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Обработанные площадки под стационарные датчики вибрации и температуры подшипников — в ОЛ машин газового тракта; измерительные трансформаторы тока 6 кВ для токовой диагностики приводов; резерв 4–6 аналоговых каналов на агрегат в пределах штатного запаса 30 %; место шкафа диагностики в помещении АСУТП; эталонные спектры и вибрационная приёмка — в программе ПНР.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дымососа и воздуходувки</w:t>
            </w:r>
          </w:p>
          <w:p>
            <w:r>
              <w:rPr>
                <w:sz w:val="16"/>
              </w:rPr>
              <w:t xml:space="preserve">— однолинейные схемы 6 кВ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Стационарная диагностика с первого дня — перевод машин единственной нитки газового тракта на обслуживание по состоянию; дооснащение после пуска в 3–5 раз дороже.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11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Z-08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Дымосос, воздуходувка</w:t>
            </w:r>
          </w:p>
          <w:p>
            <w:r>
              <w:rPr>
                <w:color w:val="444444"/>
                <w:sz w:val="16"/>
              </w:rPr>
              <w:t xml:space="preserve">Частотно-регулируемые приводы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ЧРП дымососа вместо направляющего аппарата (нормировано 400 кВт при потребных 150–250 кВт) и воздуходувки дутья как точного органа контура соотношения кислород/воздух; подстроечные приводы насосов вместо дросселирования; двигатели классов IE3/IE4 для парка свыше 7,5 кВт; счётчики с цифровым интерфейсом по фидерам от 30 кВт.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однолинейные схемы</w:t>
            </w:r>
          </w:p>
          <w:p>
            <w:r>
              <w:rPr>
                <w:sz w:val="16"/>
              </w:rPr>
              <w:t xml:space="preserve">— ОЛ машин</w:t>
            </w:r>
          </w:p>
          <w:p>
            <w:r>
              <w:rPr>
                <w:sz w:val="16"/>
              </w:rPr>
              <w:t xml:space="preserve">— спецификация электрооборудования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0,7–1,2 ГВт·ч/год по дымососу; суммарно 1–1,7 ГВт·ч/год вспомогательной энергии (4–7 млн ₽/год) с разнесением по агрегатам в ТЭП.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31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Z-09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Шихтоподготовка, выгрузка огарка</w:t>
            </w:r>
          </w:p>
          <w:p>
            <w:r>
              <w:rPr>
                <w:color w:val="444444"/>
                <w:sz w:val="16"/>
              </w:rPr>
              <w:t xml:space="preserve">Пробоотборники шихты и огарка, экспресс-лаборатория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Два автоматических механических пробоотборника: сборный конвейер шихты после смесителя и тракт выгрузки огарка с охлаждаемым отбором; помещение экспресс-лаборатории цеха с рентгенофлуоресцентным спектрометром и анализатором серы (цикл анализа 30–60 минут вместо раза в смену); требования представительности отбора — в ОЛ конвейерных трактов.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конвейерных трактов</w:t>
            </w:r>
          </w:p>
          <w:p>
            <w:r>
              <w:rPr>
                <w:sz w:val="16"/>
              </w:rPr>
              <w:t xml:space="preserve">— компоновка (помещение лаборатории)</w:t>
            </w:r>
          </w:p>
          <w:p>
            <w:r>
              <w:rPr>
                <w:sz w:val="16"/>
              </w:rPr>
              <w:t xml:space="preserve">— задание на лабораторную систему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Состав шихты — главное возмущение печи: удержание температуры слоя и SO₂ в гарантийном коридоре при сменах рецепта; партии недожога обнаруживаются до выщелачивания.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17 (базовая часть)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Z-10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Свеча аспирации</w:t>
            </w:r>
          </w:p>
          <w:p>
            <w:r>
              <w:rPr>
                <w:color w:val="444444"/>
                <w:sz w:val="16"/>
              </w:rPr>
              <w:t xml:space="preserve">Готовность свечи к автоматическому контролю выбросов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Нормируемое измерительное сечение свечи с прямыми участками; две резервные врезки с заглушками; площадка обслуживания с лестницей; питание первой категории и кабельная трасса; место под стойку и шлюз передачи данных; фиксация в документах границы «газ на сернокислотный цех выбросом не является» (патрубок дымососа).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задание на аспирацию и газоходы</w:t>
            </w:r>
          </w:p>
          <w:p>
            <w:r>
              <w:rPr>
                <w:sz w:val="16"/>
              </w:rPr>
              <w:t xml:space="preserve">— компоновка</w:t>
            </w:r>
          </w:p>
          <w:p>
            <w:r>
              <w:rPr>
                <w:sz w:val="16"/>
              </w:rPr>
              <w:t xml:space="preserve">— раздел электроснабжения</w:t>
            </w:r>
          </w:p>
          <w:p>
            <w:r>
              <w:rPr>
                <w:sz w:val="16"/>
              </w:rPr>
              <w:t xml:space="preserve">— раздел сетей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Объект I категории негативного воздействия: после получения КЭР — программа оснащения автоматическим контролем выбросов со сроком до 4 лет; дооснащение действующей свечи — 3–10 млн ₽ плюс остановки аспирации, сблокированной с технологией.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15 (подготовка в базовом составе)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Z-11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Пароконденсатный тракт (РОУ)</w:t>
            </w:r>
          </w:p>
          <w:p>
            <w:r>
              <w:rPr>
                <w:color w:val="444444"/>
                <w:sz w:val="16"/>
              </w:rPr>
              <w:t xml:space="preserve">Закладные РОУ под противодавленческую машину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Тройники и отсечная арматура в обвязке байпаса редукционно-охладительной установки; площадка 6×4 м с фундаментом; кабельная трасса и резервная ячейка в распределительном устройстве.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P&amp;ID пароконденсатного тракта</w:t>
            </w:r>
          </w:p>
          <w:p>
            <w:r>
              <w:rPr>
                <w:sz w:val="16"/>
              </w:rPr>
              <w:t xml:space="preserve">— строительное задание</w:t>
            </w:r>
          </w:p>
          <w:p>
            <w:r>
              <w:rPr>
                <w:sz w:val="16"/>
              </w:rPr>
              <w:t xml:space="preserve">— однолинейная схема РУ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Опция паровой машины на перепаде РОУ ставится позднее без врезок и остановки паросилового тракта.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14 (подготовка в базовом составе)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</w:tbl>
    <w:p>
      <w:pPr>
        <w:pStyle w:val="Heading2"/>
      </w:pPr>
      <w:r>
        <w:t xml:space="preserve">Лот №2 · Участок купоросов — 6 закладок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1600"/>
        <w:gridCol w:w="4600"/>
        <w:gridCol w:w="2700"/>
        <w:gridCol w:w="3300"/>
        <w:gridCol w:w="1770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7"/>
              </w:rPr>
              <w:t xml:space="preserve">Узел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Требование (закладка в базовый состав)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7"/>
              </w:rPr>
              <w:t xml:space="preserve">Куда внесено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7"/>
              </w:rPr>
              <w:t xml:space="preserve">Обоснование</w:t>
            </w:r>
          </w:p>
        </w:tc>
        <w:tc>
          <w:tcPr>
            <w:tcW w:w="1770" w:type="dxa"/>
            <w:shd w:val="clear" w:fill="EFEFEF"/>
          </w:tcPr>
          <w:p>
            <w:r>
              <w:rPr>
                <w:b/>
                <w:sz w:val="17"/>
              </w:rPr>
              <w:t xml:space="preserve">Источник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Z-12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Выпарка, кристаллизация</w:t>
            </w:r>
          </w:p>
          <w:p>
            <w:r>
              <w:rPr>
                <w:color w:val="444444"/>
                <w:sz w:val="16"/>
              </w:rPr>
              <w:t xml:space="preserve">Байпасы плотномеров и раздельные расходомеры пара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Байпасные линии под поточные плотномеры в P&amp;ID обеих ниток; раздельные расходомеры греющего пара по ступеням; расчётный блок пересыщения в ТЗ на прикладное ПО; резервные гильзы температур по высоте аппарата; снятие кривых растворимости и ширины метастабильной зоны — в программе ПНР.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P&amp;ID Лота №2</w:t>
            </w:r>
          </w:p>
          <w:p>
            <w:r>
              <w:rPr>
                <w:sz w:val="16"/>
              </w:rPr>
              <w:t xml:space="preserve">— перечень линий</w:t>
            </w:r>
          </w:p>
          <w:p>
            <w:r>
              <w:rPr>
                <w:sz w:val="16"/>
              </w:rPr>
              <w:t xml:space="preserve">— ТЗ на прикладное ПО</w:t>
            </w:r>
          </w:p>
          <w:p>
            <w:r>
              <w:rPr>
                <w:sz w:val="16"/>
              </w:rPr>
              <w:t xml:space="preserve">— ОЛ испарителей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Детерминированное регулирование по пересыщению стабилизирует метастабильную зону кристаллизации — крупность кристаллов и влажность в гарантийном коридоре; готовность к надстройке прогнозирующего управления.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21; разд. 2 п. 7 (подготовка)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Z-13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Подогреватели</w:t>
            </w:r>
          </w:p>
          <w:p>
            <w:r>
              <w:rPr>
                <w:color w:val="444444"/>
                <w:sz w:val="16"/>
              </w:rPr>
              <w:t xml:space="preserve">Термосопротивления и расходомеры подогревателей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Пары термосопротивлений на входе и выходе и индивидуальные расходомеры пара каждого подогревателя — в перечень линий; расчётный блок коэффициента теплопередачи в ТЗ на прикладное ПО; пороги чистки — в технологический регламент; фиксация коэффициента чистых поверхностей на ПНР как базы гарантийных сравнений.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перечень линий</w:t>
            </w:r>
          </w:p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ТЗ на прикладное ПО</w:t>
            </w:r>
          </w:p>
          <w:p>
            <w:r>
              <w:rPr>
                <w:sz w:val="16"/>
              </w:rPr>
              <w:t xml:space="preserve">— технологический регламент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Чистка по состоянию вместо календарной: зарастание видно по тренду коэффициента теплопередачи, а не по падению производительности нитки.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22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Z-14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Кристаллизация</w:t>
            </w:r>
          </w:p>
          <w:p>
            <w:r>
              <w:rPr>
                <w:color w:val="444444"/>
                <w:sz w:val="16"/>
              </w:rPr>
              <w:t xml:space="preserve">Петли под поточную гранулометрию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Байпасные линии с фланцами и арматурой на обеих ступенях обеих ниток кристаллизации; смотровые штуцеры в ОЛ испарителей; питание и сетевые порты на этажерке под проточную измерительную ячейку.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P&amp;ID Лота №2</w:t>
            </w:r>
          </w:p>
          <w:p>
            <w:r>
              <w:rPr>
                <w:sz w:val="16"/>
              </w:rPr>
              <w:t xml:space="preserve">— ОЛ испарителей</w:t>
            </w:r>
          </w:p>
          <w:p>
            <w:r>
              <w:rPr>
                <w:sz w:val="16"/>
              </w:rPr>
              <w:t xml:space="preserve">— раздел сетей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Опция поточной гранулометрии подключается конфигурацией без остановки выпарки; крупность кристаллов — прямая защита товарного качества купороса.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9 (подготовка в базовом составе)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Z-15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Замкнутый контур выпарки</w:t>
            </w:r>
          </w:p>
          <w:p>
            <w:r>
              <w:rPr>
                <w:color w:val="444444"/>
                <w:sz w:val="16"/>
              </w:rPr>
              <w:t xml:space="preserve">Регулируемая отсечка и пробоотборные линии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Регулируемый диапазон отсечки — в ОЛ выпарки; полное тегирование потоков замкнутого контура; байпасные пробоотборные линии с площадками под будущий поточный анализатор; влагомер и весы кека — в ОЛ весоизмерения.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выпарки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ОЛ весоизмерения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Готовность к прогнозу накопления примесей и оптимальной отсечке на выпарку без врезок в действующий контур.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10 (подготовка в базовом составе)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Z-16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Узел растворения купороса</w:t>
            </w:r>
          </w:p>
          <w:p>
            <w:r>
              <w:rPr>
                <w:color w:val="444444"/>
                <w:sz w:val="16"/>
              </w:rPr>
              <w:t xml:space="preserve">Узел квалифицированного возврата конденсата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Контур автоматической маршрутизации профицита конденсата (4,7 м³/ч) в P&amp;ID: кондуктометр и pH-метр на напорной линии, электромагнитный расходомер, два футерованных клапана и насос; кондиционный поток — на репульпатор и приготовление реагентов, некондиционный — обратно в кислый контур или на нейтрализацию (перевод за 5–10 с); учёт — в интерфейсную карту кислой системы оборотного водоснабжения.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P&amp;ID Лота №2</w:t>
            </w:r>
          </w:p>
          <w:p>
            <w:r>
              <w:rPr>
                <w:sz w:val="16"/>
              </w:rPr>
              <w:t xml:space="preserve">— перечень линий</w:t>
            </w:r>
          </w:p>
          <w:p>
            <w:r>
              <w:rPr>
                <w:sz w:val="16"/>
              </w:rPr>
              <w:t xml:space="preserve">— интерфейсная карта СОВ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Замещение до 39 тыс. м³/год свежей производственной воды (около половины потребления комплекса) и инструментально подтверждённый нулевой сброс.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24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Z-17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Фасовка купороса</w:t>
            </w:r>
          </w:p>
          <w:p>
            <w:r>
              <w:rPr>
                <w:color w:val="444444"/>
                <w:sz w:val="16"/>
              </w:rPr>
              <w:t xml:space="preserve">Автоматическая станция фасовки с паспортом партии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Требования ОЛ подняты до автоматической станции: подача и герметичный обжим горловины, дозирование, виброуплотнение, завязка, отвод конвейером без постоянного присутствия людей; электронный паспорт каждого контейнера (≈19 в сутки): масса коммерческого учёта, влажность по СВЧ-влагомеру, автоматический пробоотбор, QR-этикетка; блокировка отгрузки несоответствующего контейнера; строительное задание (фундамент весов, зона накопления, проезд погрузчика). Позиция длительного цикла — 8–12 мес.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станции фасовки</w:t>
            </w:r>
          </w:p>
          <w:p>
            <w:r>
              <w:rPr>
                <w:sz w:val="16"/>
              </w:rPr>
              <w:t xml:space="preserve">— строительное задание</w:t>
            </w:r>
          </w:p>
          <w:p>
            <w:r>
              <w:rPr>
                <w:sz w:val="16"/>
              </w:rPr>
              <w:t xml:space="preserve">— перечень длинноцикловых позиций</w:t>
            </w:r>
          </w:p>
          <w:p>
            <w:r>
              <w:rPr>
                <w:sz w:val="16"/>
              </w:rPr>
              <w:t xml:space="preserve">— задание на лабораторную систему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Минус один-два явочных работника в зоне канцерогена (аэрозоли солей никеля, ПДК 0,005 мг/м³), снижение класса условий труда, закрытие рисков претензий получателя.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23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</w:tbl>
    <w:p>
      <w:pPr>
        <w:pStyle w:val="Heading2"/>
      </w:pPr>
      <w:r>
        <w:t xml:space="preserve">Лот №3 · Электроэкстракция — 9 закладок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1600"/>
        <w:gridCol w:w="4600"/>
        <w:gridCol w:w="2700"/>
        <w:gridCol w:w="3300"/>
        <w:gridCol w:w="1770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7"/>
              </w:rPr>
              <w:t xml:space="preserve">Узел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Требование (закладка в базовый состав)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7"/>
              </w:rPr>
              <w:t xml:space="preserve">Куда внесено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7"/>
              </w:rPr>
              <w:t xml:space="preserve">Обоснование</w:t>
            </w:r>
          </w:p>
        </w:tc>
        <w:tc>
          <w:tcPr>
            <w:tcW w:w="1770" w:type="dxa"/>
            <w:shd w:val="clear" w:fill="EFEFEF"/>
          </w:tcPr>
          <w:p>
            <w:r>
              <w:rPr>
                <w:b/>
                <w:sz w:val="17"/>
              </w:rPr>
              <w:t xml:space="preserve">Источник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Z-18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Серии электролиза</w:t>
            </w:r>
          </w:p>
          <w:p>
            <w:r>
              <w:rPr>
                <w:color w:val="444444"/>
                <w:sz w:val="16"/>
              </w:rPr>
              <w:t xml:space="preserve">Стационарный съём 180 милливольтовых точек (1 Гц)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180 милливольтовых точек по ваннам обеих серий: модули аналогового ввода с гальванической развязкой каналов, опрос с частотой 1 Гц, хранение сырых рядов не менее 3 лет (≈50 ГБ/год); единая синхронизация времени; журнал дозировок; посадочное место и питание I категории под аналитический вычислитель.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перечень сигналов Лота №3</w:t>
            </w:r>
          </w:p>
          <w:p>
            <w:r>
              <w:rPr>
                <w:sz w:val="16"/>
              </w:rPr>
              <w:t xml:space="preserve">— спецификация серверной</w:t>
            </w:r>
          </w:p>
          <w:p>
            <w:r>
              <w:rPr>
                <w:sz w:val="16"/>
              </w:rPr>
              <w:t xml:space="preserve">— ТЗ на АСУТП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Данные для советчика выхода по току и ранней диагностики коротких замыканий копятся с первого дня — надстройка подключается без врезок и остановок серии.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1 (подготовка в базовом составе)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Z-19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Краны ванного зала</w:t>
            </w:r>
          </w:p>
          <w:p>
            <w:r>
              <w:rPr>
                <w:color w:val="444444"/>
                <w:sz w:val="16"/>
              </w:rPr>
              <w:t xml:space="preserve">Закладные на кранах: ИК-пост, балка, дискреты зон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В ОЛ кранов: закладная площадка, питание и канал связи на мосту под инфракрасный пост контроля коротких замыканий с привязкой к паре электродов; конструктивный резерв под измерительную токовую балку (масса, питание, канал с тележки); дискретные входы зонных блокировок; интерфейс «карта коротких замыканий» — в перечне сигналов; кабельные короба вдоль рядов.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кранов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задание на прикладные функции АСУ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ИК-контроль и токовая карта серии реализуются без доработки крана после поставки; доработка крана в эксплуатации требует остановок зала и повторных испытаний ПС.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15, 17; разд. 2 п. 8 (подготовка)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Z-20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Катодосдирочная машина</w:t>
            </w:r>
          </w:p>
          <w:p>
            <w:r>
              <w:rPr>
                <w:color w:val="444444"/>
                <w:sz w:val="16"/>
              </w:rPr>
              <w:t xml:space="preserve">Посты машинного зрения и идентификация матриц в ОЛ КСМ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В ОЛ катодосдирочной машины: два инспекционных поста (камеры с бестеневой подсветкой после промывки и на укладке); детерминированная пороговая классификация дефектов с автоматической отбраковкой листа до формирования пакета; передача кодов дефектов с привязкой лист — матрица — ванна по очереди выгрузки; закладные, питание и резерв 2 м выходного конвейера под отдельный пост; поле «код дефекта листа/пакета» в межлотовом протоколе.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КСМ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межлотовый протокол Лот №3 — Лот №4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Стопроцентный контроль сортности при такте 120 листов/ч; локализация ванн с дендритами за 1–2 цикла; исключение пересортицы М00к (0,5 % выпуска — 350 т/год с дисконтом); высвобождение двух контролёров в смену (8–10 млн ₽/год).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12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Z-21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Электролит</w:t>
            </w:r>
          </w:p>
          <w:p>
            <w:r>
              <w:rPr>
                <w:color w:val="444444"/>
                <w:sz w:val="16"/>
              </w:rPr>
              <w:t xml:space="preserve">Анализаторные помещения и петли DN25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Помещение анализаторной у циркуляционных баков — в компоновке; байпасные петли DN25 (футерованное исполнение, электрообогрев) от трёх точек — богатый фильтрат на межцеховой границе и питание каждой из двух серий — с термостатированной пробоподготовкой и самотёчным возвратом пробы; контуры анализа (медь, серная кислота, хлор, железо) с уставками; позиция в перечне длинноциклового оборудования.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компоновка Лота №3</w:t>
            </w:r>
          </w:p>
          <w:p>
            <w:r>
              <w:rPr>
                <w:sz w:val="16"/>
              </w:rPr>
              <w:t xml:space="preserve">— ОЛ поточных анализаторов</w:t>
            </w:r>
          </w:p>
          <w:p>
            <w:r>
              <w:rPr>
                <w:sz w:val="16"/>
              </w:rPr>
              <w:t xml:space="preserve">— перечень длинноцикловых позиций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Поточная химия электролита с лабораторным арбитражем межцеховой границы: коррекция дозирования и защита катода от примесей между лабораторными циклами.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14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Z-22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Выпрямительные агрегаты</w:t>
            </w:r>
          </w:p>
          <w:p>
            <w:r>
              <w:rPr>
                <w:color w:val="444444"/>
                <w:sz w:val="16"/>
              </w:rPr>
              <w:t xml:space="preserve">Задание на стык выпрямителей: уставка, поддерживающий ток, шунты, счётчики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В задание на выпрямительные агрегаты: гарантийный КПД тракта не ниже 0,975–0,98 в рабочей точке 42,45 кА с методикой приёмочных измерений и кривыми КПД в диапазоне 30–47 кА; дистанционная плавная уставка тока 20–100 % с ограничителем градиента; режим поддерживающего тока 5–10 % номинала; шунты постоянного тока класса 0,2 и счётчики переменного тока класса 0,5S комплектно; телеметрия температур тиристоров и трансформаторов; карта допустимых токовых пауз — запросом в ОЛ поставщика анодов.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задание на выпрямительные агрегаты</w:t>
            </w:r>
          </w:p>
          <w:p>
            <w:r>
              <w:rPr>
                <w:sz w:val="16"/>
              </w:rPr>
              <w:t xml:space="preserve">— ОЛ поставщика анодов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Минус 20–30 кВт·ч/т на крупнейшей статье энергопотребления (1,4–2,1 ГВт·ч/год, 6–9 млн ₽/год); перевод серии на резерв за 5–15 минут вместо часов; дооснащение измерениями после пуска многократно дороже закладки в заказ.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27, 29, 30; разд. 2 пп. 4–5 (подготовка)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Z-23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Узел выпрямления</w:t>
            </w:r>
          </w:p>
          <w:p>
            <w:r>
              <w:rPr>
                <w:color w:val="444444"/>
                <w:sz w:val="16"/>
              </w:rPr>
              <w:t xml:space="preserve">Регистратор ПКЭ, ФКУ и векторные группы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Гармонический расчёт узла с моделью выпрямителей; пункты задания: пульсность, сдвиг векторных групп преобразовательных трансформаторов (квазидвадцатичетырёхпульсная схема), гарантия вклада в коэффициент гармоник; ячейки и фундаменты под фильтрокомпенсирующие устройства — в однолинейной схеме; стационарный регистратор качества электроэнергии класса A на границе балансовой принадлежности; семисуточный приёмочный замер — в программе ПНР.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однолинейные схемы</w:t>
            </w:r>
          </w:p>
          <w:p>
            <w:r>
              <w:rPr>
                <w:sz w:val="16"/>
              </w:rPr>
              <w:t xml:space="preserve">— задание на выпрямители</w:t>
            </w:r>
          </w:p>
          <w:p>
            <w:r>
              <w:rPr>
                <w:sz w:val="16"/>
              </w:rPr>
              <w:t xml:space="preserve">— спецификация РУ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Качество электроэнергии по ГОСТ 32144 и пульсации выпрямленного тока в коридоре 1–3 % обеспечиваются без последующей реконструкции распределительного устройства.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28, 30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Z-24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Сеть постоянного тока</w:t>
            </w:r>
          </w:p>
          <w:p>
            <w:r>
              <w:rPr>
                <w:color w:val="444444"/>
                <w:sz w:val="16"/>
              </w:rPr>
              <w:t xml:space="preserve">Контроль изоляции с локализацией, клеммы и перемычки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Схема контроля изоляции обеих серий с локализацией утечек по секциям; 20–30 сигналов в перечень ввода-вывода; конструктивные требования к испытательным клеммам и перемычкам — в комплекте ванн и обвязки; снятие базовых значений сопротивления изоляции чистого зала и тарировка локализации — на ПНР.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комплект ванн (ОЛ)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схема электроснабжения серий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Выполнение требования разд. 7.10 ПУЭ о контроле изоляции электролизных установок; локализация утечки за часы вместо обхода всего зала.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19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Z-25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Ванный зал</w:t>
            </w:r>
          </w:p>
          <w:p>
            <w:r>
              <w:rPr>
                <w:color w:val="444444"/>
                <w:sz w:val="16"/>
              </w:rPr>
              <w:t xml:space="preserve">СКУД-калитки крановых зон с блокировками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Калитки и барьеры крановых зон — в компоновке; кабельные трассы; дискретные входы состояния калиток — в ОЛ кранов; карта зон — в прикладных функциях АСУ; сценарные испытания блокировок с имитацией входа человека при движущемся кране — в программе ПНР.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компоновка Лота №3</w:t>
            </w:r>
          </w:p>
          <w:p>
            <w:r>
              <w:rPr>
                <w:sz w:val="16"/>
              </w:rPr>
              <w:t xml:space="preserve">— ОЛ кранов</w:t>
            </w:r>
          </w:p>
          <w:p>
            <w:r>
              <w:rPr>
                <w:sz w:val="16"/>
              </w:rPr>
              <w:t xml:space="preserve">— перечень блокировок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Совмещение автоматических кранов и людей в одном зале без остановки серии; периодический контроль блокировок обязателен по Прил. №5.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17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Z-26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Реагентное хозяйство</w:t>
            </w:r>
          </w:p>
          <w:p>
            <w:r>
              <w:rPr>
                <w:color w:val="444444"/>
                <w:sz w:val="16"/>
              </w:rPr>
              <w:t xml:space="preserve">Реагентный узел как автоматическая весовая станция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Компоновка автоматического реагентного узла с весовым дозированием добавок пропорционально ампер-часам; локальный шкаф ввода-вывода; датчики аэрозоля; весовые каналы с поверкой; методика испытаний «доза — эффект» — в программе ПНР.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компоновка Лота №3</w:t>
            </w:r>
          </w:p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Нормирование расхода добавок по массе и удержание тумана серной кислоты ниже ПДК 1 мг/м³, подтверждаемое аттестованной методикой.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20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</w:tbl>
    <w:p>
      <w:pPr>
        <w:pStyle w:val="Heading2"/>
      </w:pPr>
      <w:r>
        <w:t xml:space="preserve">Лот №4 · Склад готовой продукции — 4 закладок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1600"/>
        <w:gridCol w:w="4600"/>
        <w:gridCol w:w="2700"/>
        <w:gridCol w:w="3300"/>
        <w:gridCol w:w="1770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7"/>
              </w:rPr>
              <w:t xml:space="preserve">Узел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Требование (закладка в базовый состав)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7"/>
              </w:rPr>
              <w:t xml:space="preserve">Куда внесено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7"/>
              </w:rPr>
              <w:t xml:space="preserve">Обоснование</w:t>
            </w:r>
          </w:p>
        </w:tc>
        <w:tc>
          <w:tcPr>
            <w:tcW w:w="1770" w:type="dxa"/>
            <w:shd w:val="clear" w:fill="EFEFEF"/>
          </w:tcPr>
          <w:p>
            <w:r>
              <w:rPr>
                <w:b/>
                <w:sz w:val="17"/>
              </w:rPr>
              <w:t xml:space="preserve">Источник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Z-27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Склад готовой продукции</w:t>
            </w:r>
          </w:p>
          <w:p>
            <w:r>
              <w:rPr>
                <w:color w:val="444444"/>
                <w:sz w:val="16"/>
              </w:rPr>
              <w:t xml:space="preserve">AGV-ready: ровность пола, зарядная, Wi-Fi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Класс ровности пола — в задании на корпус (требование системы автоматического складирования); зарядная на два-три поста; сплошное покрытие склада беспроводной сетью; ОЛ машин в двух исполнениях (автоматическое и водительское); блокировка «стоп при подаче вагонов» — в карте сигналов.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строительное задание на корпус</w:t>
            </w:r>
          </w:p>
          <w:p>
            <w:r>
              <w:rPr>
                <w:sz w:val="16"/>
              </w:rPr>
              <w:t xml:space="preserve">— ОЛ штабелёров</w:t>
            </w:r>
          </w:p>
          <w:p>
            <w:r>
              <w:rPr>
                <w:sz w:val="16"/>
              </w:rPr>
              <w:t xml:space="preserve">— карта сигналов блокировок</w:t>
            </w:r>
          </w:p>
          <w:p>
            <w:r>
              <w:rPr>
                <w:sz w:val="16"/>
              </w:rPr>
              <w:t xml:space="preserve">— раздел сетей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Безлюдное исполнение штабелёров вводится без переделки пола и сетей; такт 4 мин (пик 7 пакетов/ч) подтверждается обкаткой на ПНР; резерв — водительское исполнение для нештатных режимов.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25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Z-28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Погрузка вагонов</w:t>
            </w:r>
          </w:p>
          <w:p>
            <w:r>
              <w:rPr>
                <w:color w:val="444444"/>
                <w:sz w:val="16"/>
              </w:rPr>
              <w:t xml:space="preserve">Управляемая уставка массы пакета и таблица ЦМ-943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Строка дистанционно управляемой уставки массы пакета — в ОЛ машины и межлотовом протоколе; машиночитаемая таблица ограничений схем размещения и крепления по ЦМ-943 (симметрия, нагрузки на ось и тележку), единая для алгоритма и приёмосдатчиков; резерв канала связи с автоматизированной системой железнодорожного цеха — в схеме сети.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КСМ</w:t>
            </w:r>
          </w:p>
          <w:p>
            <w:r>
              <w:rPr>
                <w:sz w:val="16"/>
              </w:rPr>
              <w:t xml:space="preserve">— межлотовый протокол</w:t>
            </w:r>
          </w:p>
          <w:p>
            <w:r>
              <w:rPr>
                <w:sz w:val="16"/>
              </w:rPr>
              <w:t xml:space="preserve">— схема сети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Оптимизационный набор вагона до грузоподъёмности 69,5–70 т по фактическим массам пакетов; расчёт детерминирован и воспроизводим — пригоден для коммерческого архива отгрузок.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26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Z-29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Железнодорожный фронт</w:t>
            </w:r>
          </w:p>
          <w:p>
            <w:r>
              <w:rPr>
                <w:color w:val="444444"/>
                <w:sz w:val="16"/>
              </w:rPr>
              <w:t xml:space="preserve">Вагонные весы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Вагонные весы класса точности «высокий» с открытыми программными компонентами для автоматической передачи данных; контрольная точка оптимизационного набора вагона — невязка возвращается в расчёт; аттестация весовых каналов как коммерческого учёта, поставка с первичной поверкой.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строительное задание</w:t>
            </w:r>
          </w:p>
          <w:p>
            <w:r>
              <w:rPr>
                <w:sz w:val="16"/>
              </w:rPr>
              <w:t xml:space="preserve">— спецификация весоизмерения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Замыкание контура «уставка — набор — контроль» по фактическим массам; доказательный коммерческий архив отгрузок.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26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Z-30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Выходной контроль упаковки</w:t>
            </w:r>
          </w:p>
          <w:p>
            <w:r>
              <w:rPr>
                <w:color w:val="444444"/>
                <w:sz w:val="16"/>
              </w:rPr>
              <w:t xml:space="preserve">Закладные под рамки машинного зрения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Закладные и кронштейны, питание и сеть под две рамки выходного контроля упаковки; поле результата контроля — в модели данных склада.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строительное задание</w:t>
            </w:r>
          </w:p>
          <w:p>
            <w:r>
              <w:rPr>
                <w:sz w:val="16"/>
              </w:rPr>
              <w:t xml:space="preserve">— раздел сетей</w:t>
            </w:r>
          </w:p>
          <w:p>
            <w:r>
              <w:rPr>
                <w:sz w:val="16"/>
              </w:rPr>
              <w:t xml:space="preserve">— задание на прикладное ПО склада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Портал контроля ставится опцией без остановки потока отгрузки; состояние упаковки фиксируется до вагона — защита в претензионной работе.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16 (подготовка в базовом составе)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</w:tbl>
    <w:p>
      <w:pPr>
        <w:pStyle w:val="Heading2"/>
      </w:pPr>
      <w:r>
        <w:t xml:space="preserve">Общезаводские закладки (все лоты и стыки границ) — 16 закладок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1600"/>
        <w:gridCol w:w="4600"/>
        <w:gridCol w:w="2700"/>
        <w:gridCol w:w="3300"/>
        <w:gridCol w:w="1770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7"/>
              </w:rPr>
              <w:t xml:space="preserve">Узел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Требование (закладка в базовый состав)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7"/>
              </w:rPr>
              <w:t xml:space="preserve">Куда внесено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7"/>
              </w:rPr>
              <w:t xml:space="preserve">Обоснование</w:t>
            </w:r>
          </w:p>
        </w:tc>
        <w:tc>
          <w:tcPr>
            <w:tcW w:w="1770" w:type="dxa"/>
            <w:shd w:val="clear" w:fill="EFEFEF"/>
          </w:tcPr>
          <w:p>
            <w:r>
              <w:rPr>
                <w:b/>
                <w:sz w:val="17"/>
              </w:rPr>
              <w:t xml:space="preserve">Источник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Z-31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АСУТП всех лотов</w:t>
            </w:r>
          </w:p>
          <w:p>
            <w:r>
              <w:rPr>
                <w:color w:val="444444"/>
                <w:sz w:val="16"/>
              </w:rPr>
              <w:t xml:space="preserve">Write-теги с ограничителями: шаблон «внешняя уставка»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Типовой шаблон «внешняя уставка» для всех главных контуров: write-тег с ограничителями диапазона и скорости, сторожевым таймером и безударным возвратом на локальное задание; «динамический паспорт» главных контуров (постоянные времени и запаздывания из ступенчатых испытаний ПНР) — в состав исполнительной документации.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реестры сигналов всех лотов</w:t>
            </w:r>
          </w:p>
          <w:p>
            <w:r>
              <w:rPr>
                <w:sz w:val="16"/>
              </w:rPr>
              <w:t xml:space="preserve">— задание на прикладное ПО ПЛК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Любая надстройка оптимизации подключается конфигурацией за недели — без врезок и остановок производства; ПАЗ независим во всех режимах.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34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Z-32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ИТ-инфраструктура</w:t>
            </w:r>
          </w:p>
          <w:p>
            <w:r>
              <w:rPr>
                <w:color w:val="444444"/>
                <w:sz w:val="16"/>
              </w:rPr>
              <w:t xml:space="preserve">Серверы оптимизации, OPC UA и сегмент КИИ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Резервированная пара серверов оптимизации в серверной; шлюз OPC UA; выделенный сегмент сети «оптимизация» за промышленным межсетевым экраном в логике требований к критической информационной инфраструктуре. Стороннее прикладное ПО в базовый состав не входит — закладываются шаблоны, каналы и серверные места.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спецификация серверной</w:t>
            </w:r>
          </w:p>
          <w:p>
            <w:r>
              <w:rPr>
                <w:sz w:val="16"/>
              </w:rPr>
              <w:t xml:space="preserve">— раздел сетей</w:t>
            </w:r>
          </w:p>
          <w:p>
            <w:r>
              <w:rPr>
                <w:sz w:val="16"/>
              </w:rPr>
              <w:t xml:space="preserve">— раздел информационной безопасности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Готовность к надстройкам оптимизации без пересмотра сетевой архитектуры и повторной аттестации сегментов после пуска.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34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Z-33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Архив технологических данных</w:t>
            </w:r>
          </w:p>
          <w:p>
            <w:r>
              <w:rPr>
                <w:color w:val="444444"/>
                <w:sz w:val="16"/>
              </w:rPr>
              <w:t xml:space="preserve">Секундный архив ≥5 лет, NTP/PTP, журнал оператора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Секундная история ключевых тегов в архивной системе с хранением полного разрешения не менее 5 лет; единая синхронизация времени всех контроллеров (NTP/PTP); электронный журнал оператора; журналирование и ведение записи с первого дня пусконаладки — эталонный массив данных пускового периода; СХД в спецификации с питанием I категории.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ТЗ на АСУТП (ГОСТ 34.602)</w:t>
            </w:r>
          </w:p>
          <w:p>
            <w:r>
              <w:rPr>
                <w:sz w:val="16"/>
              </w:rPr>
              <w:t xml:space="preserve">— спецификация СХД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Массив пускового периода — исходные данные идентификации моделей усовершенствованного управления и базис гарантийных разборов; после пуска его не восстановить.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34, 39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Z-34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Энергобаланс</w:t>
            </w:r>
          </w:p>
          <w:p>
            <w:r>
              <w:rPr>
                <w:color w:val="444444"/>
                <w:sz w:val="16"/>
              </w:rPr>
              <w:t xml:space="preserve">Теплосчётчики шести контуров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Теплосчётчики на шесть контуров (пар котла-утилизатора, питательная вода, три контура оборотного водоснабжения, конденсат) — отдельной группой «энергобаланс» спецификации КИП; пар — вихревыми расходомерами с коррекцией по давлению и температуре; единая синхронизация времени и передача в архивную систему.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перечень линий</w:t>
            </w:r>
          </w:p>
          <w:p>
            <w:r>
              <w:rPr>
                <w:sz w:val="16"/>
              </w:rPr>
              <w:t xml:space="preserve">— ТЗ на АСУТП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Приборное ядро сводной энергетической карты (около 9 МВт сбросного тепла на градирни) и год честных данных для ТЭО опций утилизации тепла.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33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Z-35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Оборотное водоснабжение</w:t>
            </w:r>
          </w:p>
          <w:p>
            <w:r>
              <w:rPr>
                <w:color w:val="444444"/>
                <w:sz w:val="16"/>
              </w:rPr>
              <w:t xml:space="preserve">Штуцеры на обратках СОВ и площадка теплонасосной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Штуцеры Ду150–200 с отсечной арматурой на обратках трёх контуров оборотного водоснабжения; площадка 12×6 м с фундаментом и кабельный резерв у насосной; низкотемпературный график калориферов — в заданиях смежному разделу отопления и вентиляции.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P&amp;ID оборотного водоснабжения</w:t>
            </w:r>
          </w:p>
          <w:p>
            <w:r>
              <w:rPr>
                <w:sz w:val="16"/>
              </w:rPr>
              <w:t xml:space="preserve">— строительное задание</w:t>
            </w:r>
          </w:p>
          <w:p>
            <w:r>
              <w:rPr>
                <w:sz w:val="16"/>
              </w:rPr>
              <w:t xml:space="preserve">— задания смежникам (ОВ)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Опция утилизации 7–9 МВт сбросного тепла (рекуперация на приток, тепловые насосы) ставится без остановки контуров охлаждения.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6 (подготовка в базовом составе)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Z-36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Обходы и мобильный контроль</w:t>
            </w:r>
          </w:p>
          <w:p>
            <w:r>
              <w:rPr>
                <w:color w:val="444444"/>
                <w:sz w:val="16"/>
              </w:rPr>
              <w:t xml:space="preserve">NFC-метки и штатные точки замера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Кислотостойкие NFC/QR-метки на 180 ваннах и позициях оборудования всех четырёх лотов; штатные безопасные точки милливольтового замера на межванновой ошиновке на высоте не более 1700 мм (без лесов и стремянок — требование Прил. №5); покрытие залов беспроводной сетью; формат передачи результатов в архивную систему.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перечни точек по четырём лотам</w:t>
            </w:r>
          </w:p>
          <w:p>
            <w:r>
              <w:rPr>
                <w:sz w:val="16"/>
              </w:rPr>
              <w:t xml:space="preserve">— комплект ванн и ошиновки (ОЛ)</w:t>
            </w:r>
          </w:p>
          <w:p>
            <w:r>
              <w:rPr>
                <w:sz w:val="16"/>
              </w:rPr>
              <w:t xml:space="preserve">— раздел сетей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Закрывает открытый пункт БИ «точки и способ милливольтового контроля ванн»; замеры выполняются между перерывами тока, опорные напряжения всех 180 ванн снимаются на ПНР.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18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Z-37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Тяжёлый монтаж</w:t>
            </w:r>
          </w:p>
          <w:p>
            <w:r>
              <w:rPr>
                <w:color w:val="444444"/>
                <w:sz w:val="16"/>
              </w:rPr>
              <w:t xml:space="preserve">Реперные марки в КД и допуски ±2 мм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Штатные реперные марки и контрольные точки в конструкторской документации каждой тяжёлой единицы (печь, котёл-утилизатор, электрофильтры, ванны, машины, краны) — требованием опросных листов; таблицы монтажных допусков (борта смежных ванн ±2 мм на ряду 63 м) с методом контроля — в разделах «Требования к монтажу» всех четырёх лотов; пункты разбивочной основы вне вибрационных зон — в компоновке; координаты «как смонтировано» — атрибутами цифровой модели.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поставщиков тяжёлого оборудования</w:t>
            </w:r>
          </w:p>
          <w:p>
            <w:r>
              <w:rPr>
                <w:sz w:val="16"/>
              </w:rPr>
              <w:t xml:space="preserve">— разделы «Требования к монтажу»</w:t>
            </w:r>
          </w:p>
          <w:p>
            <w:r>
              <w:rPr>
                <w:sz w:val="16"/>
              </w:rPr>
              <w:t xml:space="preserve">— компоновка</w:t>
            </w:r>
          </w:p>
          <w:p>
            <w:r>
              <w:rPr>
                <w:sz w:val="16"/>
              </w:rPr>
              <w:t xml:space="preserve">— задание на цифровую модель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Проектные 0,06 В на ванну достижимы только в допуске ±2 мм; уход контактов на 10 мВ по 180 ваннам — около 0,7 ГВт·ч/год, треть запаса гарантии удельного расхода 2050 кВт·ч/т.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43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Z-38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Прослеживаемость партий</w:t>
            </w:r>
          </w:p>
          <w:p>
            <w:r>
              <w:rPr>
                <w:color w:val="444444"/>
                <w:sz w:val="16"/>
              </w:rPr>
              <w:t xml:space="preserve">Межлотовый протокол ключей прослеживаемости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Модель ключей «пакет — ванна — режим» в межлотовом интерфейсном протоколе Лот №3 — Лот №4; формат QR-этикетки пакета; требование хранения привязки не менее 10 лет; сырые ряды напряжений ванн и токов серий — в архиве не менее 5 лет.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межлотовый протокол</w:t>
            </w:r>
          </w:p>
          <w:p>
            <w:r>
              <w:rPr>
                <w:sz w:val="16"/>
              </w:rPr>
              <w:t xml:space="preserve">— ТЗ на АСУТП</w:t>
            </w:r>
          </w:p>
          <w:p>
            <w:r>
              <w:rPr>
                <w:sz w:val="16"/>
              </w:rPr>
              <w:t xml:space="preserve">— задание на прикладное ПО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Досье партии в претензионной работе и при регистрации марки; глубина претензионного разбора обеспечена архивом сырых рядов.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13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Z-39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Освещение</w:t>
            </w:r>
          </w:p>
          <w:p>
            <w:r>
              <w:rPr>
                <w:color w:val="444444"/>
                <w:sz w:val="16"/>
              </w:rPr>
              <w:t xml:space="preserve">Стабилизированная освещённость зон машинного зрения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Зоны машинного зрения (посты КСМ, рамки выходного контроля упаковки, весовые) — стабилизированная освещённость без пульсаций; явный перечень зон-исключений из-под датчиков присутствия и сценариев управляемого освещения; требования управляемости — в пояснительную записку и задания смежникам (светотехнический расчёт остаётся этапом РД).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задания смежникам (ЭО)</w:t>
            </w:r>
          </w:p>
          <w:p>
            <w:r>
              <w:rPr>
                <w:sz w:val="16"/>
              </w:rPr>
              <w:t xml:space="preserve">— пояснительная записка</w:t>
            </w:r>
          </w:p>
          <w:p>
            <w:r>
              <w:rPr>
                <w:sz w:val="16"/>
              </w:rPr>
              <w:t xml:space="preserve">— перечень зон-исключений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Достоверность оптического контроля и весовых каналов; экономия управляемого освещения 0,7–1,1 ГВт·ч/год реализуется не в ущерб машинному зрению.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12, 32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Z-40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Опросные листы</w:t>
            </w:r>
          </w:p>
          <w:p>
            <w:r>
              <w:rPr>
                <w:color w:val="444444"/>
                <w:sz w:val="16"/>
              </w:rPr>
              <w:t xml:space="preserve">Раздел открытых данных состояния (свыше 30 кВт)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Типовой раздел во все ОЛ динамического оборудования свыше 30 кВт и критичного: встроенные датчики вибрации и температуры подшипников, наработка, счётчики пусков, токи приводов; выдача числовых значений (не битовых статусов «норма/авария») по стандартному цифровому протоколу; карта регистров — в составе документации поставщика; единый «сервер надёжности» вместо изолированных островов.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шаблон ОЛ всех лотов</w:t>
            </w:r>
          </w:p>
          <w:p>
            <w:r>
              <w:rPr>
                <w:sz w:val="16"/>
              </w:rPr>
              <w:t xml:space="preserve">— ведомости сигналов</w:t>
            </w:r>
          </w:p>
          <w:p>
            <w:r>
              <w:rPr>
                <w:sz w:val="16"/>
              </w:rPr>
              <w:t xml:space="preserve">— спецификация серверной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Дооснащение закрытых комплектных машин после пуска в 3–5 раз дороже закладки в проект; единый сервер экономит 3–8 млн ₽ на дублируемых серверах.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35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Z-41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Модель данных</w:t>
            </w:r>
          </w:p>
          <w:p>
            <w:r>
              <w:rPr>
                <w:color w:val="444444"/>
                <w:sz w:val="16"/>
              </w:rPr>
              <w:t xml:space="preserve">Единый словарь тегов = P&amp;ID = цифровая модель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Словарь данных (кодировка тегов) единый с P&amp;ID и цифровой информационной моделью; сквозной словарь тегов комплектных поставок; единая нормативно-справочная информация с кодами корпоративной системы планирования.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ТЗ на АСУТП</w:t>
            </w:r>
          </w:p>
          <w:p>
            <w:r>
              <w:rPr>
                <w:sz w:val="16"/>
              </w:rPr>
              <w:t xml:space="preserve">— задание на ЦИМ</w:t>
            </w:r>
          </w:p>
          <w:p>
            <w:r>
              <w:rPr>
                <w:sz w:val="16"/>
              </w:rPr>
              <w:t xml:space="preserve">— реестры сигналов</w:t>
            </w:r>
          </w:p>
          <w:p>
            <w:r>
              <w:rPr>
                <w:sz w:val="16"/>
              </w:rPr>
              <w:t xml:space="preserve">— межлотовые протоколы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Сшивка проектных, монтажных и эксплуатационных данных без ручного сопоставления — основа всех последующих цифровых сервисов и суточного план-факта.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37, 39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Z-42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АСУТП всех лотов</w:t>
            </w:r>
          </w:p>
          <w:p>
            <w:r>
              <w:rPr>
                <w:color w:val="444444"/>
                <w:sz w:val="16"/>
              </w:rPr>
              <w:t xml:space="preserve">Резерв каналов ввода-вывода 30 %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Резерв каналов ввода-вывода контроллеров и портов сети не менее 30 % по всем лотам (норматив Прил. №5); резерв выдерживается при каждом добавлении точек учёта и диагностики настоящего реестра — контроллеры не пересчитываются.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реестры сигналов</w:t>
            </w:r>
          </w:p>
          <w:p>
            <w:r>
              <w:rPr>
                <w:sz w:val="16"/>
              </w:rPr>
              <w:t xml:space="preserve">— спецификации шкафов АСУТП</w:t>
            </w:r>
          </w:p>
          <w:p>
            <w:r>
              <w:rPr>
                <w:sz w:val="16"/>
              </w:rPr>
              <w:t xml:space="preserve">— схема сети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Все закладки реестра подключаются в штатный запас; исчерпание резерва означало бы замену шкафов под каждую надстройку.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11, 37, 40 (норматив Прил. №5)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Z-43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Серверная</w:t>
            </w:r>
          </w:p>
          <w:p>
            <w:r>
              <w:rPr>
                <w:color w:val="444444"/>
                <w:sz w:val="16"/>
              </w:rPr>
              <w:t xml:space="preserve">Серверные места с питанием I категории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Посадочные места, питание I категории и охлаждение под аналитические серверы и СХД секундного архива — в спецификации серверной; резерв портов коммутаторов сети.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спецификация серверной</w:t>
            </w:r>
          </w:p>
          <w:p>
            <w:r>
              <w:rPr>
                <w:sz w:val="16"/>
              </w:rPr>
              <w:t xml:space="preserve">— раздел электроснабжения</w:t>
            </w:r>
          </w:p>
          <w:p>
            <w:r>
              <w:rPr>
                <w:sz w:val="16"/>
              </w:rPr>
              <w:t xml:space="preserve">— раздел сетей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Вычислительная инфраструктура надстроек (советчики, балансовый монитор, ЛИМС) ставится в готовые места без реконструкции серверной.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39; разд. 2 п. 1 (подготовка)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Z-44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Испытания и пуск</w:t>
            </w:r>
          </w:p>
          <w:p>
            <w:r>
              <w:rPr>
                <w:color w:val="444444"/>
                <w:sz w:val="16"/>
              </w:rPr>
              <w:t xml:space="preserve">Машиночитаемые ПМИ и перечни блокировок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Программы и методики испытаний всех лотов — в машиночитаемой структуре «шаг — регистрируемые теги — критерий приёмки — форма акта»; машиночитаемый перечень блокировок; модуль пусковых карт — в ТЗ на АСУТП; требование к комплектным поставщикам передавать ПМИ в структурированном электронном виде, а не сканами; помещение штаба пуска с рабочими местами — в компоновке.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ТЗ на АСУТП (ГОСТ 34.602)</w:t>
            </w:r>
          </w:p>
          <w:p>
            <w:r>
              <w:rPr>
                <w:sz w:val="16"/>
              </w:rPr>
              <w:t xml:space="preserve">— ОЛ комплектных поставок</w:t>
            </w:r>
          </w:p>
          <w:p>
            <w:r>
              <w:rPr>
                <w:sz w:val="16"/>
              </w:rPr>
              <w:t xml:space="preserve">— программы испытаний</w:t>
            </w:r>
          </w:p>
          <w:p>
            <w:r>
              <w:rPr>
                <w:sz w:val="16"/>
              </w:rPr>
              <w:t xml:space="preserve">— компоновка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Экономия двух-трёх инженеров-документалистов на 4–6 мес ПНР и 5–10 суток на стыках этапов; гарантийные показатели считаются автоматически из аттестованных каналов, а не оспариваются задним числом.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44; разд. 2 п. 3 (подготовка)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Z-45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Комплектные поставки КНР</w:t>
            </w:r>
          </w:p>
          <w:p>
            <w:r>
              <w:rPr>
                <w:color w:val="444444"/>
                <w:sz w:val="16"/>
              </w:rPr>
              <w:t xml:space="preserve">Двуязычные ПМИ и удалённая приёмка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Пункты удалённой заводской приёмки (прогон КСМ на полном такте 120 листов/ч по согласованному чек-листу с видеофиксацией), двуязычные русско-английские программы и методики испытаний и поддержка не менее 2 лет — в ОЛ всех комплектных поставщиков КНР; канал и шлюз — в разделе сетей; типовая схема доступа — в разделе информационной безопасности, согласуется с Заказчиком на стадии БИ, а не в период пуска.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комплектных поставок КНР</w:t>
            </w:r>
          </w:p>
          <w:p>
            <w:r>
              <w:rPr>
                <w:sz w:val="16"/>
              </w:rPr>
              <w:t xml:space="preserve">— раздел сетей</w:t>
            </w:r>
          </w:p>
          <w:p>
            <w:r>
              <w:rPr>
                <w:sz w:val="16"/>
              </w:rPr>
              <w:t xml:space="preserve">— раздел информационной безопасности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Снижение риска принять несоответствующую машину, экономия трёх-пяти очных выездов (5–15 млн ₽) и исполнимость гарантийной поддержки: диагностика по видео и данным в день обращения.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3 п. 3 (закладная часть)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Z-46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Межлотовые границы</w:t>
            </w:r>
          </w:p>
          <w:p>
            <w:r>
              <w:rPr>
                <w:color w:val="444444"/>
                <w:sz w:val="16"/>
              </w:rPr>
              <w:t xml:space="preserve">Карта точек учёта и балансовый контур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Карта точек учёта на межлотовых границах: расходомеры-плотномеры богатого фильтрата и бедного электролита, весы огарка и пылей — дополнением перечня линий (без них баланс металла не сведётся); выделенный «балансовый контур» приборов с классами точности и поверкой; такт архивирования не реже минуты; 15–20 балансовых точек водных контуров, 4–6 кондуктометров-индикаторов перетока и прямые участки DN150–350 — в ведомости линий.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перечень линий</w:t>
            </w:r>
          </w:p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ТЗ на АСУТП</w:t>
            </w:r>
          </w:p>
          <w:p>
            <w:r>
              <w:rPr>
                <w:sz w:val="16"/>
              </w:rPr>
              <w:t xml:space="preserve">— интерфейсные карты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Ежесуточное сведение балансов металла и воды: утечка или перелив видны за часы вместо недель (1 % потерь кислого контура — 45 тыс. м³/год с кислотой мимо контура); инструментальная доказательная база бессточности.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36, 37, 40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</w:tbl>
    <w:p>
      <w:pPr>
        <w:pStyle w:val="Heading1"/>
      </w:pPr>
      <w:r>
        <w:t xml:space="preserve">Открытые позиции</w:t>
      </w:r>
    </w:p>
    <w:p>
      <w:r>
        <w:rPr>
          <w:sz w:val="19"/>
        </w:rPr>
        <w:t xml:space="preserve">— Точки установки, типоразмеры и количество закладных элементов (гильз, штуцеров, бобышек, площадок обслуживания) определяются на стадии БИ по компоновочным решениям и уточняются по техническим предложениям изготовителей.</w:t>
      </w:r>
    </w:p>
    <w:p>
      <w:r>
        <w:rPr>
          <w:sz w:val="19"/>
        </w:rPr>
        <w:t xml:space="preserve">— Объём закладок, попадающих в границы поставки комплектного оборудования, подтверждается изготовителем в составе технико-коммерческого предложения и фиксируется в опросных листах.</w:t>
      </w:r>
    </w:p>
    <w:p>
      <w:r>
        <w:rPr>
          <w:sz w:val="19"/>
        </w:rPr>
        <w:t xml:space="preserve">— Резервы по кабельным трассам, каналам и площадям под последующее дооснащение принимаются на стадии БИ и подлежат согласованию с Заказчиком.</w:t>
      </w:r>
    </w:p>
    <w:p>
      <w:r>
        <w:rPr>
          <w:sz w:val="19"/>
        </w:rPr>
        <w:t xml:space="preserve">— Перечень закладок, переносимых в задания смежным разделам (ЭОМ, АК, СС, ВК), формируется на стадии БИ после выпуска компоновочных решений.</w:t>
      </w:r>
    </w:p>
    <w:p>
      <w:pPr>
        <w:pStyle w:val="Muted"/>
      </w:pPr>
      <w:r>
        <w:rPr>
          <w:color w:val="666666"/>
          <w:sz w:val="16"/>
        </w:rPr>
        <w:t xml:space="preserve">Источник формулировок — «Реестр предложений по повышению эффективности производства, автоматизации и контролю», редакция 2.0 от 28.08.2026 (раздел 1 — базовый состав, раздел 2 — подготовка в базовом составе, раздел 3 — закладные части).</w:t>
      </w:r>
    </w:p>
    <w:sectPr>
      <w:headerReference w:type="default" r:id="rIdHdr"/>
      <w:footerReference w:type="default" r:id="rIdFtr"/>
      <w:pgSz w:w="16838" w:h="11906" w:orient="landscape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ОВЭ75-БИ-ОБ-ЗР · Ведомость закладных решений для последующей цифровизации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Общее по комплексу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ОВЭ75-БИ-ОБ-ЗР · Ведомость закладных решений для последующей цифровизации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