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2026-08-25.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21, сверок 40 (сходится 33, в допуске 1, вопросов 6), находок для Гипроникеля 11.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Выход по току в ИД явно не указан — запросить (мы приняли 92 %)</w:t>
      </w:r>
    </w:p>
    <w:p>
      <w:r>
        <w:rPr>
          <w:sz w:val="20"/>
        </w:rPr>
        <w:t xml:space="preserve">Все электрохимические цифры ИД самосогласованы при η ≈ 92 %.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 (+7–10 млрд ₽, +18–24 мес); внутри v4.1 остаётся противоречие, генплана нет</w:t>
      </w:r>
    </w:p>
    <w:p>
      <w:r>
        <w:rPr>
          <w:sz w:val="20"/>
        </w:rPr>
        <w:t xml:space="preserve">ТЗ v4.1 (25.08.2026, п.1.3) подтвердило вводную владельца от 15.08.2026: «новое строительство объектов комплекса ОВЭ на свободной территории Промплощадки КГМК по варианту размещения, принятому Заказчиком». Но таблица объектов v4.1 по-прежнему держит гидрометаллургический цех (Лоты 2–3) в «существующих зданиях», а Прил.№6/№7 остались в перечне приложений — противоречие вынесено Заказчику (C-94). Сам «вариант размещения» (генплан) в ИД не выдан — запрошен отдельным вопросом (Q-10); без него посадка корпусов и внутриплощадочные сети в БИ не считаются. Наша компоновка нового корпуса — блок NB-EW; CAPEX +7–10 млрд ₽, срок +18–24 мес против сценария приспособления.</w:t>
      </w:r>
    </w:p>
    <w:p>
      <w:r>
        <w:rPr>
          <w:b/>
          <w:sz w:val="21"/>
        </w:rPr>
        <w:t xml:space="preserve">8. [ВАЖНО] «75 000 т/год» не обеспечены заявленным сырьём: доступно ~70,3 тыс. т (дефицит 6,3 %)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проверка: слой ~2 м, напряжённость по зеркалу ~7 т/(м²·сут) — конструкция консистентна.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2900"/>
        <w:gridCol w:w="2900"/>
        <w:gridCol w:w="12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  <w:tc>
          <w:tcPr>
            <w:tcW w:w="1238" w:type="dxa"/>
            <w:shd w:val="clear" w:fill="EFEFEF"/>
          </w:tcPr>
          <w:p>
            <w:r>
              <w:rPr>
                <w:b/>
                <w:sz w:val="19"/>
              </w:rPr>
              <w:t xml:space="preserve">Базис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X-CU; разделить мощность и выпуск (F-CAP)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качество катода не может гарантироваться безусловно при чужом сырье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1 942 кВт·ч/т (расчёт при η=92 %)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+5,5 % на старение анодов, рост КЗ, зимний режим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≈92 % (самосогласование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F-ETA: значение в ИД не зафиксировано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граница самого ТЗ; запас ×2 к расчёту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перенос финальной гарантии на vendor data (D-09)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СКЦ важнее стабильность, чем абсолют; гарантия при составе шихты по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F-HEAT: тепловой эффект под вопросом (наша оценка +20 %)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+11/9 % на пусковые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F-O2: базис нормы не подтверждён (+7,5 % запас)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L1-DEW / F-DEW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F-KUPOROS: базис 25,7 % не подтверждён — гарантируем достижимое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F-CL: хлор на пределе для 316L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запас на первый год освоения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F-EL1: воздуходувка/вакуум/аспирация не нормированы в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Прил. №5 и Методика ЕТТ — их же требования, фиксируем как гарантию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(F-HEAT)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(F-EL1)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≈7.7 млн кВт·ч (+56 %).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принято 92 % (типовой диапазон ЭЭ меди 88–94 %) [допущение КВАНТ — в ИД явно не приведён]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0,92) = 41 087 А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41 087 / (84 × 2 × 1,0 м²) = 245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0,92 = 2,12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МВт; ток из мощности: 41 089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→ 77,7 тыс,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77,7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+0,86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самосогласована: ток ванны ≈41 087 А (плотность 245 А/м² номинал), напряжение 2.12 В, мощность выпрямления ≈15.7 МВт (два независимых пути сходятся в 0,1 %). Запас до 280 А/м² подтверждает 76,7 тыс. т/год. Выход по току 92 % — наше допущение, у Гипроникеля запросить принятое значение.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8 413 ч = 68 756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68 756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NB-EW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(вводная владельца 15.08.2026, подтверждена ТЗ v4.1 п.1.3 от 25.08.2026) [ТЗ v4.1 п.1.3; остаточное противоречие внутри v4.1 — см. F-BUILD] · Ванны: 180 шт. (2 серии × 90, ряды по 45); 84 катода/ванну, шаг ≈100 мм [ИД ч.2 п. 4.2.2, п. 1.3.9]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9,6 × 1,45 м (84 катода × ~0,100 м + концевые)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45 × 1,55 = 69,8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 + зона КСМ 30 м + ремзона 20 м)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NB-COST · Стоимость нового строительства (замена «реконструкции существующих»)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NB-EW: ЭЭ+электролитное 128 тыс. м³; купорос 16; склад 32 [расчёт NB-EW]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 (≈$114 млн при 90 ₽/$)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Дельта к прежней строке «реконструкция» ($18M base), млн $ — смена базиса добавляет к CAPEX ~$70–100 млн; базис подтверждён ТЗ v4.1 п.1.3, деньги в CAPEX заложены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114,3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+534,78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Новое строительство вместо приспособления существующих зданий добавляет к CAPEX ≈10,3 млрд ₽ (сверх корпуса обжига, который и в ТЗ был новым) и ~18–24 месяца строительного цикла. Строка CAPEX «реконструкция ЦЭМ/ГМУ» заменена на три строки нового строительства — см. вкладку «Стройка · CAPEX».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V(h)):  </w:t>
      </w:r>
      <w:r>
        <w:rPr>
          <w:sz w:val="20"/>
        </w:rPr>
        <w:t xml:space="preserve">h ≈ 1,98 м; зеркало слоя Ø 7,5 м (44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324 т/сут ÷ 44 м² = 7,3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 м — реалистично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конусная форма (Ø6→8,39 м) выводит напряжённость в норму — по подине была бы 11,5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7,29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+4,08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Фактическая геометрия печи HATCH проходит независимую проверку: слой ~2 м, зеркало Ø7,5 м, напряжённость 7,3 т/(м²·сут) — в мировом диапазоне. Конус 21° одновременно решает сепарацию (скорость газа падает к газоходу) — see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44 м² → газоход 55 м² [ИД ч.1 стр. 417 (геометрия HATCH)]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0,29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2,1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7,14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+42,87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