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2026-08-26.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21, сверок 40 (сходится 33, в допуске 1, вопросов 6), находок для Гипроникеля 11.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 (+7–10 млрд ₽, +18–24 мес); открыты статус Прил.№6/№7 и генплан</w:t>
      </w:r>
    </w:p>
    <w:p>
      <w:r>
        <w:rPr>
          <w:sz w:val="20"/>
        </w:rPr>
        <w:t xml:space="preserve">ТЗ v4.1 (25.08.2026, п.1.3) подтвердило вводную владельца от 15.08.2026: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(C-94) и выдача «варианта размещения» (генплана) как ИД (Q-10) — без него посадка корпусов и внутриплощадочные сети в БИ не считаются. Наша компоновка нового корпуса — блок NB-EW; CAPEX +7–10 млрд ₽, срок +18–24 мес против сценария приспособления.</w:t>
      </w:r>
    </w:p>
    <w:p>
      <w:r>
        <w:rPr>
          <w:b/>
          <w:sz w:val="21"/>
        </w:rPr>
        <w:t xml:space="preserve">8.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NB-EW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(вводная владельца 15.08.2026, подтверждена ТЗ v4.1 п.1.3 от 25.08.2026) [ТЗ v4.1 п.1.3; остаточное противоречие внутри v4.1 — см. F-BUILD] · Ванны: 180 шт. (2 серии × 90, ряды по 45); 84 катода/ванну, шаг ≈100 мм [ИД ч.2 п. 4.2.2, п. 1.3.9]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9,6 × 1,45 м (84 катода × ~0,100 м + концевые)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45 × 1,55 = 69,8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 + зона КСМ 30 м + ремзона 20 м)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NB-COST · Стоимость нового строительства (замена «реконструкции существующих»)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NB-EW: ЭЭ+электролитное 128 тыс. м³; купорос 16; склад 32 [расчёт NB-EW]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 (≈$114 млн при 90 ₽/$)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Дельта к прежней строке «реконструкция» ($18M base), млн $ — смена базиса добавляет к CAPEX ~$70–100 млн; базис подтверждён ТЗ v4.1 п.1.3, деньги в CAPEX заложены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114,3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+534,78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Новое строительство вместо приспособления существующих зданий добавляет к CAPEX ≈10,3 млрд ₽ (сверх корпуса обжига, который и в ТЗ был новым) и ~18–24 месяца строительного цикла. Строка CAPEX «реконструкция ЦЭМ/ГМУ» заменена на три строки нового строительства — см. вкладку «Стройка · CAPEX».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