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v4.1 от 25.08.2026, ТЗ на ЦИМ ред.2 и приложения; реестр сверен с новой редакцией (снятые позиции помечены, новые расхождения v4.1 — C-94…C-101; адреса цитат в исторических позициях — по v3.6). Составлено 26.08.2026.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Живая версия реестра с теми же номерами — на сайте проекта, вкладка «Расхождения ТЗ»; решения, внесённые там, попадают в общую базу и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101 — блокирующих 7, существенных 39, формальных 55; решено 0. Плюс 11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составе Лота 1 «в автоцементовозы» вычеркнуто (зачёркнутое = исключено), способ транспортировки — при ОТР; конфликт 70 °С против 65 °С актуализируется, только если транспорт подтвердят автоцементовозами (C-95)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базис — новое строительство (п.1.3; пометки базиса в таблице объектов вычеркнуты), но в перечне приложений остались обмерные Прил.№6/№7 существующих зданий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6 – Существующее здание Цеха электролиза меди (ЦЭМ). … 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v4.1, «Перечень приложений» (пометки «(новое строительство)»/«(существующие здания)» в таблице объектов v4.1 вычеркнуты)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правилу «зачёркнутое = исключено» v4.1 сняла пометки базиса в таблице объектов, и базис остаётся один — п.1.3: новое строительство всех объектов комплекса на свободной территории. При этом в перечне приложений сохранены обмерные Прил.№6 (здание ЦЭМ) и №7 (здание ГМУ) «существующих зданий» — их статус при новом строительстве не определён. Сам «вариант размещения, принятый Заказчиком» в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протоколом: базис всех лотов — новое строительство (п.1.3); статус Прил.№6/№7 — справочные (не применяются) либо исключить; передать «вариант размещения» (генплан)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 [Правка 25.08: при первичном прочтении вычеркнутая строка учитывалась как действующая; по правилу «зачёркнутое = исключено» противоречия нет — действует только «Бюджетные ТКП по основному оборудованию».]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снято по правило чтения v4.1 «зачёркнутое = исключено» (принято 25.08.2026, подтвердить протоколом с Заказчиком): строка «не менее 2-х – 3-х на каждую позицию» в v4.1 вычеркнута — действуют только бюджетные ТКП по основному оборудованию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(55)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24 — материал циклона, электрофильтра и дымососов указан четырежды как «12Х1812Т»»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один раз указано корректно —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C-87. </w:t>
      </w:r>
      <w:r>
        <w:rPr>
          <w:b/>
        </w:rPr>
        <w:t xml:space="preserve">Лот №1: в таблице границ проектирования два пункта 3.3.2, пункт 3.3.3 отсутствует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стр.151 (табл. п.3.3)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стр.152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Номер 3.3.2 присвоен двум разным продуктам (медный кек и цементная медь), следующий пункт — сразу 3.3.4 (стр.153). На пункт 3.3 завязаны состав оборудования (стр.165) и оценка стоимости (стр.223); ссылки на конкретные подпункты границ будут неоднозначными.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— двойного 3.3.2 больше нет; на таблицу границ Лота 1 ссылаются как на п. 4.5</w:t>
      </w:r>
    </w:p>
    <w:p>
      <w:r>
        <w:rPr>
          <w:b/>
        </w:rPr>
        <w:t xml:space="preserve">Вопрос Заказчику: </w:t>
      </w:r>
      <w:r>
        <w:t xml:space="preserve">Перенумеровать таблицу границ Лота №1 (цементная медь → 3.3.3).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 (пометка «(существующие здания)» в v4.1 вычеркнута)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v4.1 пометка «(существующие здания)» вычеркнута; тройное имя объекта (цех / участок ГМУ / «Минпрок») сохраняется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«в автоцементовозы» вычеркнуто из состава Лота №1, но осталось в описательной части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«Отгрузка огарка и «грубой» пыли из бункера предусматривается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описание технологии Цеха обжига (то же — для «тонкой» пыли); в составе оборудования Лота №1 слова «в автоцементовозы» вычеркнуты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Состав Лота №1 приведён к «способ транспортировки определяется при разработке ОТР» (автоцементовозы вычеркнуты) — принято. В описательной части остались два упоминания автоцементовозов — рудимент правки. Конфликт температур (70 °С на выгрузке против допуска цементовоза 65 °С, C-54) актуализируется, только если при ОТР транспорт подтвердят автоцементовозами.</w:t>
      </w:r>
    </w:p>
    <w:p>
      <w:r>
        <w:rPr>
          <w:b/>
        </w:rPr>
        <w:t xml:space="preserve">Вопрос Заказчику: </w:t>
      </w:r>
      <w:r>
        <w:t xml:space="preserve">Вычистить оставшиеся упоминания автоцементовозов из описательной части (либо подтвердить их как принятое решение — тогда см. C-54).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неросcийского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Закрыт ТЗ v4.1 от 25.08.2026: п.1.3 —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(зачёркнутое = исключено) — базис един для всех лотов. Открытыми остаются статус обмерных Прил.№6/№7 (C-94) и выдача генплана (Q-10).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внести этапность в ТЗ/договор, зафиксировав сроки — Этап 1: 3 месяца с начала работ по БИ; Этап 2: 3 месяца после завершения Этапа 1; общий срок выпуска БИ — не более 6 месяцев. Подтвердить разбивку по лотам (четыре отчёта или единый). Позиции, не названные в этапах, распределить с приоритетом сметно-бюджетного контура: разделы, необходимые для расчёта смет и бюджетирования оборудования (стоимостной блок, нетиповое оборудование, тепловые балансы, целевые показатели), — в Этапы 1–2; данные экологического блока (выбросы для ОВОС) и иные несметные разделы — допустимо выделить отдельным этапом после итогового отчёта.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