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(оценка — в расчётной записке КВАНТ); размещение в существующем здании Гидрометаллургического участка (ГМУ, бывший корпус «Минпрок», чертежи Приложения №7 к ТЗ — ФМ.01648) сохраняется как резервный сценарий А.</w:t>
      </w:r>
    </w:p>
    <w:p>
      <w:r>
        <w:rPr>
          <w:sz w:val="20"/>
        </w:rPr>
        <w:t xml:space="preserve">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опустела, перекрёстные ссылки на границы даны и как п.4.3, и как п.5.3 — обе позиции вынесены в наши предложения к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2. 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3. 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4. 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баланса меди ≈0,06 т/год (&lt;0,01 % входа).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560–816 кг/ч (интервальное произведение независимых границ; сопряжённые пары расход/концентрация ИД табл. 5.6 дали бы 646–708).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4342 = 3634 (купорос) + 709 (маточник-1) т/год; невязка ≈0,06 т/год (&lt;0,01 %)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5. 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6. 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Ду 350–400 мм; нитка 2 (139 м³/ч): ≈0,20 м → Ду 200–250 мм; ПЭБ (32 и 18 м³/ч): Ду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н.1 — Ду 350–400; н.2 — Ду 200–250; ПЭБ — Ду 100–125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7. 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8. 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предыдущей редакции ТЗ;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пуста; перекрёстные ссылки даны и как п. 4.3, и как п. 5.3, см. «Общие сведения»). На PFD границы наносятся в редакции v4.1; воздух КИП — по предыдущей редакции ТЗ до восстановления строки.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pPr>
        <w:pStyle w:val="Heading2"/>
      </w:pPr>
      <w:r>
        <w:rPr>
          <w:b/>
          <w:sz w:val="26"/>
        </w:rPr>
        <w:t xml:space="preserve">9. 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(принято в редакции v4.1)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Ду 50, 904L;
— маточник-1 в нитку 2: 1,42 м³/ч → Ду 25–32, 904L, c обогревом (бак 4.1.5);
— контур циркуляции нитки 1: 633 м³/ч → d = √(4×0,176/(π×2,4)) = 0,31 м → Ду 300–350, 904L; нитки 2: 251 м³/ч → 0,20 м → Ду 200, 904L;
— соковый пар (объёмные потоки по табл. 4.1 ИД): I ст. н.1 49 417 м³/ч → d = √(4×13,73/(π×50)) = 0,59 м → Ду 600; II ст. н.1 23 032 м³/ч → 0,40 м → Ду 400; I ст. н.2 17 647 м³/ч → 0,35 м → Ду 350; II ст. н.2 5 530 м³/ч → 0,20 м → Ду 200; исполнение 904L (влажный кислый пар с уносом капель);
— глухой пар 0,6 МПа (v″ = 0,316 м³/кг): н.1 2,1 т/ч = 663 м³/ч → d = √(4×0,184/(π×35)) = 0,082 м → Ду 80–100; н.2 0,9 т/ч → Ду 65; рабочий пар эжекторов/ПЭБ: н.1 1,02 т/ч → Ду 50, н.2 0,34 т/ч → Ду 32–40 — сталь по ГОСТ 32569;
— конденсат глухого пара: 3,0 т/ч → Ду 32–40;
— кислая СОВ: конденсатор н.1 380 м³/ч → d = √(4×0,106/(π×1,8)) = 0,27 м → Ду 300 (подача и возврат); н.2 138 м³/ч → Ду 150–200; конденсаторы ПЭБ 32/18 м³/ч → Ду 80–100/65 — кислотостойкое исполнение (до 0,5 г/л H₂SO₄, ИД п. 2.5); барометрические трубы — см. раздел «Вакуумная система» (Ду 350–400 / 200–250 / 100–125);
— маточник-2 в ЦЭН: 0,22 м³/ч — Ду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(расчётная записка КВАНТ)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(состав БИ Лота №2)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питание Ду 50; циркуляция Ду 300–350/200; соковый пар Ду 600/400/350/200; глухой пар Ду 80–100/65; СОВ Ду 300/150–200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раздел P&amp;ID; расчётная записка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11. 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12. 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Ду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13. 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14. 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15. 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16. 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— параметры приняты по предыдущей редакции ТЗ до подтверждения. ТУ на подключение запрашивает Заказчик; БИ выдаёт исходные данные для запроса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(расчётная записка КВАНТ) — детально см. раздел «Электроснабжение и электрооборудование».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(границы);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17. 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(расчётная записка КВАНТ;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(соответствующий пункт Прил. №3 для лота неактуален).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 (ИД табл. 8.5 + досчёты)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18. 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(принято в редакции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19. 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20. 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21. 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гарантийная рамка расчётной записки КВАНТ в разделе «Сырьё и продукция»), удельный расход пара (расчётный базис GOR 0,76 кг испарённой воды/кг пара — расчётная записка КВАНТ);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расчётная записка КВАНТ (гарантийная рамка)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22. 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Ду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(расчётная записка КВАНТ).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23. 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элементами; библиотечный компонент на каждый типоразмер; LOI — по листу «Стадия БИ_ТХ» нового Прил. 1 (только оборудование ТХ и ЭОМ/СС/АК; листов АР/КР нет — сняты в ред. 2); классификация элементов IFC по типам/категориям/классам (в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компоновочная основа — расчётная записка КВАНТ)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(по ред. 2; было раз в 2); состав передачи — исходники, IFC, сводная модель, отчёт «Описание ЦИМ» (по ред. 2; LandXML исключён); инструментальная среда — перечень ПО ред. 2 «рекомендуемый», применяемое ПО согласуется с Заказчиком.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 (Прил. 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24. 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(принято в редакции v4.1);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нумерация) — с учётом поставки АСУ с прикладным программным обеспечением. Класс точности оценки (Class 3, ±15–20 %) зафиксировать в договоре.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p>
      <w:pPr>
        <w:pStyle w:val="Heading2"/>
      </w:pPr>
      <w:r>
        <w:rPr>
          <w:b/>
          <w:sz w:val="26"/>
        </w:rPr>
        <w:t xml:space="preserve">25. Закладные решения для последующей цифровизации</w:t>
      </w:r>
    </w:p>
    <w:p>
      <w:r>
        <w:rPr>
          <w:sz w:val="20"/>
        </w:rPr>
        <w:t xml:space="preserve">По решению Заказчика в базовый состав Лота №2 вносятся закладные решения под последующую цифровизацию участка — элементы, дешёвые на стадии строительства и дорогие (или требующие останова) при дооснащении: врезки и байпасы с отсечной арматурой, штуцеры, фланцевые петли, резервные гильзы, площадки с фундаментами, кабельные и сетевые резервы, а также требования в опросных листах оборудования. Закладные обеспечивают ввод решений реестра идей эффективности (расчётный контроль пересыщения, контроль зарастания подогревателей, поточная гранулометрия, модельно-прогнозирующее управление выпаркой, прогноз отсечки по балансу примесей, утилизация сбросного тепла) без остановов ниток и без переделок обвязки. Принятая технология, состав основного оборудования и контуры регулирования БИ при этом не меняются; гарантии по производительности и качеству купоросов закладные не затрагивают.</w:t>
      </w:r>
    </w:p>
    <w:p>
      <w:r>
        <w:rPr>
          <w:sz w:val="20"/>
        </w:rPr>
        <w:t xml:space="preserve">Оформление — штатными инструментами БИ: врезки и контуры — в P&amp;ID и перечень линий; требования к машинам — строками опросных листов (испарители, центрифуги, вакуум-фильтры, узел фасовки); строительные и энергетические резервы — заданиями смежным разделам (строительный, ОВиК, электроснабжение); измерительные каналы — в перечень сигналов АСУ в пределах нормируемого резерва каналов ≥30 % (Прил. №5). Сами опции (поточные анализаторы, тепловые насосы, серверы оптимизации, прикладные модели) в объём поставки Лота №2 не входят и оцениваются отдельно по разделу 2 реестра.</w:t>
      </w:r>
    </w:p>
    <w:p>
      <w:r>
        <w:rPr>
          <w:sz w:val="20"/>
        </w:rPr>
        <w:t xml:space="preserve">Стоимость закладных лежит в пределах точности бюджетной оценки лота (арматура, фланцевые пары, гильзы, короба, метизы) и отдельной строкой не выделяется; в спецификациях и опросных листах позиции помечаются признаком «Закладная (цифровизация)» — для контроля сохранности при рабочем проектировании и при приёмке монтажа. Средства измерений, добавляемые по закладным, применяются только из Госреестра СИ, поверенными по 102-ФЗ.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Байпасы под плотномеры маточника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— 904L; замена прибора без останова нитки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21;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Контроль зарастания подогревателей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в кислотостойком исполнении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Закладные под поточную гранулометрию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— в опросные листы испарителей; питание 230 В и сетевые порты на этажерке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Узел возврата конденсата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Контур маршрутизации по качеству — в P&amp;ID: кондуктометр, pH-метр, расходомер, два футерованных клапана, насос; линия Ду50 от приямков за гидрозатворами до узла растворения; профицит кислой СОВ 4,7 м³/ч, замещение до 39 тыс. м³/год свежей воды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Узел фасовки — автоматическая станция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Требования опросного листа: подача и обжим горловины, дозирование, виброуплотнение без постоянного присутствия людей; СВЧ-влагомер на ленте; автоматический пробоотборник; печать QR-этикетки; блокировка отгрузки контейнера до подтверждения электронного паспорта партии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Штуцеры на обратках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Штуцеры Ду150–200 с отсечной арматурой на обратках нейтральной и кислой систем оборотного водоснабжения — под будущий отбор сбросного тепла с водяной стороны; технологический контур не затрагивается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Резерв под тепловые насосы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Площадка 12×6 м с фундаментом и кабельный резерв 0,4–0,8 МВт (сторона 0,4 кВ) у насосной; гильзы под трассы к тепловым пунктам; задание смежному разделу ОВиК — калориферы приточных установок на низкотемпературный график 70/40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6; задание смежникам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Регулируемая отсечка на выпарку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опросном листе выпарки — регулируемый диапазон отсечки (не фиксированное значение); байпасные пробоотборные линии Ду25 с площадками обслуживания под будущий поточный анализатор растворов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Арматура и гильзы под усовершенствованное управление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Регулирующие клапаны греющего пара с позиционерами вместо отсечных; резервные гильзы температур по высоте аппаратов; прецизионные вакуумметры — в перечень КИП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Теплосчётчики участка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Узлы учёта тепла на греющем паре, возвращаемом конденсате и контурах СОВ участка — база для водного и теплового баланса и последующего технико-экономического обоснования утилизации тепла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пп. 6,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Секундный архив тегов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Все аналоговые теги участка — в архив хранилища технологических данных с шагом 1 с; объём каналов — в пределах резерва ≥30 % по Прил. №5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21; разд. 2 п.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состояния динамического оборудования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опросные листы машин с приводом свыше 30 кВт (центрифуги, циркуляционные и вакуумные насосы, воздуходувки) — раздел «мониторинг состояния»: вибрация, температура подшипников, ток привода как значения, а не биты; карта Modbus-регистров — в составе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пп. 7, 14; разд. 1.3 п. 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 — оформление врезок, байпасов и измерительных каналов закладных; ФЗ-102 от 26.06.2008; ГОСТ Р 8.596-2002 — Средства измерений по закладным — из Госреестра СИ, с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закладных подтверждается Заказчиком протоколом при защите БИ; не подтверждённые позиции переводятся в раздел опций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Признак «Закладная (цифровизация)» в спецификациях и опросных листах — проконтролировать сохранность позиций при рабочем проектировании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65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 об объекте, назначении, месте расположения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sz w:val="19"/>
        </w:rPr>
        <w:t xml:space="preserve">1.3 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r>
        <w:rPr>
          <w:b/>
          <w:sz w:val="20"/>
        </w:rPr>
        <w:t xml:space="preserve">2. Данные о сырье и продукции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r>
        <w:rPr>
          <w:b/>
          <w:sz w:val="20"/>
        </w:rPr>
        <w:t xml:space="preserve">3. Описание технологического процесса по операциям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r>
        <w:rPr>
          <w:b/>
          <w:sz w:val="20"/>
        </w:rPr>
        <w:t xml:space="preserve">4. Материальные балансы по операциям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r>
        <w:rPr>
          <w:b/>
          <w:sz w:val="20"/>
        </w:rPr>
        <w:t xml:space="preserve">5. Тепловой расчёт выпарки: греющий пар, теплопередача, нагрузки конденсации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r>
        <w:rPr>
          <w:b/>
          <w:sz w:val="20"/>
        </w:rPr>
        <w:t xml:space="preserve">6. Расчёт вакуумной системы: эжекторы, ПЭБ, барометрические трубы, солевые колонны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r>
        <w:rPr>
          <w:b/>
          <w:sz w:val="20"/>
        </w:rPr>
        <w:t xml:space="preserve">7. Обоснование материального исполнения: 904L против 316L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r>
        <w:rPr>
          <w:b/>
          <w:sz w:val="20"/>
        </w:rPr>
        <w:t xml:space="preserve">8. Принципиальная технологическая схема (PFD)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r>
        <w:rPr>
          <w:b/>
          <w:sz w:val="20"/>
        </w:rPr>
        <w:t xml:space="preserve">9. Предварительные схемы P&amp;ID и контуры КИПиА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r>
        <w:rPr>
          <w:b/>
          <w:sz w:val="20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r>
        <w:rPr>
          <w:b/>
          <w:sz w:val="20"/>
        </w:rPr>
        <w:t xml:space="preserve">11. Компоновка в существующем здании ГМУ; высотная проверка барометрических конденсаторов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r>
        <w:rPr>
          <w:b/>
          <w:sz w:val="20"/>
        </w:rPr>
        <w:t xml:space="preserve">12. Нагрузки на строительные конструкции и фундаменты (включая динамические)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r>
        <w:rPr>
          <w:b/>
          <w:sz w:val="20"/>
        </w:rPr>
        <w:t xml:space="preserve">13. Требования к монтажу (включая вес самых тяжёлых частей)</w:t>
      </w:r>
    </w:p>
    <w:p>
      <w:r>
        <w:rPr>
          <w:b/>
          <w:sz w:val="19"/>
        </w:rPr>
        <w:t xml:space="preserve">13.1 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sz w:val="19"/>
        </w:rPr>
        <w:t xml:space="preserve">13.2 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sz w:val="19"/>
        </w:rPr>
        <w:t xml:space="preserve">13.3 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r>
        <w:rPr>
          <w:b/>
          <w:sz w:val="20"/>
        </w:rPr>
        <w:t xml:space="preserve">14. АСУ участка с прикладным программным обеспечением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sz w:val="19"/>
        </w:rPr>
        <w:t xml:space="preserve">14.2 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r>
        <w:rPr>
          <w:b/>
          <w:sz w:val="20"/>
        </w:rPr>
        <w:t xml:space="preserve">15. Расходы пара, воды и энергоресурсов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r>
        <w:rPr>
          <w:b/>
          <w:sz w:val="20"/>
        </w:rPr>
        <w:t xml:space="preserve">16. Предварительные данные по подключению к сетям водо-, энерго- и воздухоснабжения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sz w:val="19"/>
        </w:rPr>
        <w:t xml:space="preserve">16.3 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r>
        <w:rPr>
          <w:b/>
          <w:sz w:val="20"/>
        </w:rPr>
        <w:t xml:space="preserve">17. Сведения по электроснабжению и электрооборудованию (по Приложению №3)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sz w:val="19"/>
        </w:rPr>
        <w:t xml:space="preserve">17.3 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r>
        <w:rPr>
          <w:b/>
          <w:sz w:val="20"/>
        </w:rPr>
        <w:t xml:space="preserve">18. Тепловыделения и выделения вредностей; исходные данные для смежных разделов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r>
        <w:rPr>
          <w:b/>
          <w:sz w:val="20"/>
        </w:rPr>
        <w:t xml:space="preserve">19. Данные для раздела ОВОС (по балансам участка)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sz w:val="19"/>
        </w:rPr>
        <w:t xml:space="preserve">19.3 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sz w:val="19"/>
        </w:rPr>
        <w:t xml:space="preserve">19.4 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r>
        <w:rPr>
          <w:b/>
          <w:sz w:val="20"/>
        </w:rPr>
        <w:t xml:space="preserve">20. Перечень основного и вспомогательного оборудования; опросные листы; монтаж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r>
        <w:rPr>
          <w:b/>
          <w:sz w:val="20"/>
        </w:rPr>
        <w:t xml:space="preserve">21. Требования к испытаниям, приёмке, промывке и пассивации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sz w:val="19"/>
        </w:rPr>
        <w:t xml:space="preserve">21.4 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r>
        <w:rPr>
          <w:b/>
          <w:sz w:val="20"/>
        </w:rPr>
        <w:t xml:space="preserve">22. Интерфейсы с другими лотами, ЦЭН и общеплощадочными системами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sz w:val="19"/>
        </w:rPr>
        <w:t xml:space="preserve">22.4 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sz w:val="19"/>
        </w:rPr>
        <w:t xml:space="preserve">22.5 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r>
        <w:rPr>
          <w:b/>
          <w:sz w:val="20"/>
        </w:rPr>
        <w:t xml:space="preserve">23. ЦИМ участка на этапе БИ (Приложение №4, ред. 2)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r>
        <w:rPr>
          <w:b/>
          <w:sz w:val="20"/>
        </w:rPr>
        <w:t xml:space="preserve">24. Стоимость поставки по Лоту №2 (порядок формирования)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p>
      <w:r>
        <w:rPr>
          <w:b/>
          <w:sz w:val="20"/>
        </w:rPr>
        <w:t xml:space="preserve">25. Закладные решения для последующей цифровизации</w:t>
      </w:r>
    </w:p>
    <w:p>
      <w:r>
        <w:rPr>
          <w:b/>
          <w:sz w:val="19"/>
        </w:rPr>
        <w:t xml:space="preserve">25.1  </w:t>
      </w:r>
      <w:r>
        <w:rPr>
          <w:sz w:val="19"/>
        </w:rPr>
        <w:t xml:space="preserve">Перечень закладных подтверждается Заказчиком протоколом при защите БИ; не подтверждённые позиции переводятся в раздел опций</w:t>
      </w:r>
    </w:p>
    <w:p>
      <w:r>
        <w:rPr>
          <w:b/>
          <w:sz w:val="19"/>
        </w:rPr>
        <w:t xml:space="preserve">25.2  </w:t>
      </w:r>
      <w:r>
        <w:rPr>
          <w:sz w:val="19"/>
        </w:rPr>
        <w:t xml:space="preserve">Признак «Закладная (цифровизация)» в спецификациях и опросных листах — проконтролировать сохранность позиций при рабочем проектировании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lot2 pz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