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содержит требования к монтажу технологического оборудования Лота №1 «Цех обжига», включая массы и габариты самых тяжёлых и крупногабаритных частей, требования к монтажным проёмам и путям подачи, последовательность крупноблочного монтажа, требования к грузоподъёмным механизмам и такелажной оснастке и особые требования к отдельным видам работ. Документ выполняет требование состава Базового инжиниринга «Требования к монтажу (включая вес самых тяжёлых частей)» Технического задания на Базовый инжиниринг ред. 4.1.</w:t>
      </w:r>
    </w:p>
    <w:p>
      <w:r>
        <w:rPr>
          <w:sz w:val="20"/>
        </w:rPr>
        <w:t xml:space="preserve">Требования настоящего документа являются исходными данными для разработки проекта производства работ монтажной организацией, для назначения монтажных проёмов и путей подачи в компоновочных решениях, для проверки строительных конструкций на монтажные нагрузки и для формирования требований монтажной технологичности в опросных листах и технических условиях поставки оборудования.</w:t>
      </w:r>
    </w:p>
    <w:p>
      <w:r>
        <w:rPr>
          <w:sz w:val="20"/>
        </w:rPr>
        <w:t xml:space="preserve">Цех обжига — новое строительство. Здание — стальной рамно-связевой каркас, колонны по сетке 6/12 м, покрытие по фермам, ограждение из сэндвич-панелей. Печь кипящего слоя, котёл-утилизатор, бункерная этажерка и этажерка газоочистки установлены на собственных опорных каркасах, конструктивно отделённых от каркаса здания. Определяющее условие организации монтажа: наиболее тяжёлые и высокие аппараты (электрофильтры, котёл-утилизатор, корпус печи, силосные башни) устанавливаются до закрытия теплового контура здания либо через монтажные проёмы в покрытии и перекрытиях.</w:t>
      </w:r>
    </w:p>
    <w:p>
      <w:r>
        <w:rPr>
          <w:color w:val="666666"/>
          <w:sz w:val="17"/>
        </w:rPr>
        <w:t xml:space="preserve">Источник: ИД ч.1 (табл. 23 — характеристики оборудования и требования к монтажу, табл. 24Б — поставщики комплектного оборудования, разд. 2.4 и 6 — регламент разогрева и ремонтный цикл печи); ТЗ на БИ ред. 4.1 (п. 3.4 — состав оборудования, п. 3.5 — сетка колонн); расчётная модель КВАНТ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ОВЭ75-БИ-Л1-ПЗ — Пояснительная записка</w:t>
      </w:r>
    </w:p>
    <w:p>
      <w:r>
        <w:rPr>
          <w:sz w:val="20"/>
        </w:rPr>
        <w:t xml:space="preserve">— ОВЭ75-БИ-Л1-КР — Компоновочные решения (планы, разрезы)</w:t>
      </w:r>
    </w:p>
    <w:p>
      <w:r>
        <w:rPr>
          <w:sz w:val="20"/>
        </w:rPr>
        <w:t xml:space="preserve">— ОВЭ75-БИ-Л1-СО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ОВЭ75-БИ-Л1-ОЛ — Опросные листы основного оборудования (альбом)</w:t>
      </w:r>
    </w:p>
    <w:p>
      <w:r>
        <w:rPr>
          <w:sz w:val="20"/>
        </w:rPr>
        <w:t xml:space="preserve">— ОВЭ75-БИ-Л1-ДЦ — Исходные требования на длинноцикловое оборудование</w:t>
      </w:r>
    </w:p>
    <w:p>
      <w:r>
        <w:rPr>
          <w:sz w:val="20"/>
        </w:rPr>
        <w:t xml:space="preserve">— ОВЭ75-БИ-Л1-НГ — Планы строительных конструкций и фундаментов с предварительными нагрузками</w:t>
      </w:r>
    </w:p>
    <w:p>
      <w:pPr>
        <w:pStyle w:val="Heading2"/>
      </w:pPr>
      <w:r>
        <w:rPr>
          <w:b/>
          <w:sz w:val="24"/>
        </w:rPr>
        <w:t xml:space="preserve">1.2 Границы объёма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50"/>
        <w:gridCol w:w="6904"/>
      </w:tblGrid>
      <w:tr>
        <w:trPr>
          <w:tblHeader/>
          <w:cantSplit/>
        </w:trPr>
        <w:tc>
          <w:tcPr>
            <w:tcW w:w="2450" w:type="dxa"/>
            <w:shd w:val="clear" w:fill="EFEFEF"/>
          </w:tcPr>
          <w:p>
            <w:r>
              <w:rPr>
                <w:b/>
                <w:sz w:val="15"/>
              </w:rPr>
              <w:t xml:space="preserve">Раздел объёма</w:t>
            </w:r>
          </w:p>
        </w:tc>
        <w:tc>
          <w:tcPr>
            <w:tcW w:w="6904" w:type="dxa"/>
            <w:shd w:val="clear" w:fill="EFEFEF"/>
          </w:tcPr>
          <w:p>
            <w:r>
              <w:rPr>
                <w:b/>
                <w:sz w:val="15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Выдаётся в составе Базового инжиниринга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Ведомость тяжёлых и крупногабаритных монтажных единиц с массами, габаритами и отметками установки; требования к монтажным проёмам и путям подачи; последовательность крупноблочного монтажа; требования к грузоподъёмным механизмам и такелажной оснастке; особые требования к производству отдельных видов работ; требования монтажной технологичности, транслируемые в опросные листы и технические требования поставки.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Относится к стадии проекта производства работ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Проект производства работ, в том числе проект производства работ с применением подъёмных сооружений: расстановка кранов по стоянкам, схемы строповки конкретных грузов, расчёты устойчивости и нагрузок на основания под опорами кранов, календарный график монтажа, потребность в оснастке и персонале. Разрабатывается монтажной организацией на основании настоящих требований и компоновочных решений лота.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Относится к поставке оборудования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Массы, координаты центров тяжести, деление на транспортабельные и монтажные блоки, схемы строповки за штатные элементы, инструкции по монтажу и выверке, объём шеф-монтажа. Поступают с техническими предложениями и конструкторской документацией изготовителей и вносятся в ведомость настоящего документа итерацией.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1.3 Достоверность массовых характеристик</w:t>
      </w:r>
    </w:p>
    <w:p>
      <w:r>
        <w:rPr>
          <w:sz w:val="20"/>
        </w:rPr>
        <w:t xml:space="preserve">Массы и габариты ведомости раздела 2 имеют разную степень определённости. Каждое значение сопровождается указанием источника; порядок использования значений при назначении механизмов и оснастки приведён ниже.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900"/>
        <w:gridCol w:w="3700"/>
        <w:gridCol w:w="3754"/>
      </w:tblGrid>
      <w:tr>
        <w:trPr>
          <w:tblHeader/>
          <w:cantSplit/>
        </w:trPr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3700" w:type="dxa"/>
            <w:shd w:val="clear" w:fill="EFEFEF"/>
          </w:tcPr>
          <w:p>
            <w:r>
              <w:rPr>
                <w:b/>
                <w:sz w:val="15"/>
              </w:rPr>
              <w:t xml:space="preserve">Признак</w:t>
            </w:r>
          </w:p>
        </w:tc>
        <w:tc>
          <w:tcPr>
            <w:tcW w:w="37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использования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Задано исходными данными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Масса или габарит приведены в исходных данных Заказчика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Принимается без изменения; уточняется конструкторской документацией изготовителя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Расчёт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Значение получено расчётом по геометрии, объёму и плотности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Принимается как предварительное; уточняется по фактическим характеристикам поставки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Предварительная оценка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Значение оценено Исполнителем по геометрии и аналогам, задано диапазоном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В расчёты монтажной оснастки и грузоподъёмности принимается верхняя граница диапазона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По ТКП изготовителя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Характеристика изготовителем не задана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Резервируются место установки, грузоподъёмность механизма и предельная масса блока; значение вносится по техническому предложению</w:t>
            </w:r>
          </w:p>
        </w:tc>
      </w:tr>
    </w:tbl>
    <w:p>
      <w:r>
        <w:rPr>
          <w:color w:val="555555"/>
          <w:sz w:val="18"/>
        </w:rPr>
        <w:t xml:space="preserve">Записи в графах ведомости: «По ТКП изготовителя» — характеристика в исходных данных не задана и вносится по техническому предложению; «Определяется на стадии БИ» — значение дают расчёты и решения текущей стадии; знак «—» — характеристика к позиции не применима.</w:t>
      </w:r>
    </w:p>
    <w:p>
      <w:pPr>
        <w:pStyle w:val="Heading2"/>
      </w:pPr>
      <w:r>
        <w:rPr>
          <w:b/>
          <w:sz w:val="24"/>
        </w:rPr>
        <w:t xml:space="preserve">1.4 Нормативная база производства монтажных работ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66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5"/>
              </w:rPr>
              <w:t xml:space="preserve">Область применения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75.13330.2011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Технологическое оборудование и трубопроводы — правила производства и приёмки монтажных работ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70.13330.2012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Несущие и ограждающие конструкции — монтаж каркаса, сварные соединения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ГОСТ 24444-87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Оборудование технологическое — требования монтажной технологичности (закладывается в опросные листы)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Федеральные нормы и правила № 461 от 26.11.2020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Подъёмные сооружения — краны, проект производства работ с применением подъёмных сооружений, такелаж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Федеральные нормы и правила № 536 от 15.12.2020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Монтаж и гидроиспытания котла-утилизатора и паропроводов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Федеральные нормы и правила № 486 от 26.11.2020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Монтаж и обезжиривание кислородных линий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68.13330.2017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Приёмка в эксплуатацию законченных строительством объектов; комплексное опробование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20.13330.2016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Нагрузки и воздействия, в том числе монтажные, крановые и климатические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ГОСТ 12.3.009-76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Работы погрузочно-разгрузочные — общие требования безопасности</w:t>
            </w:r>
          </w:p>
        </w:tc>
      </w:tr>
    </w:tbl>
    <w:p>
      <w:r>
        <w:rPr>
          <w:color w:val="555555"/>
          <w:sz w:val="18"/>
        </w:rPr>
        <w:t xml:space="preserve">Далее по тексту сокращение ФНП означает федеральные нормы и правила в области промышленной безопасности, утверждённые приказом Ростехнадзора с указанным номером.</w:t>
      </w:r>
    </w:p>
    <w:p>
      <w:pPr>
        <w:pStyle w:val="Heading2"/>
      </w:pPr>
      <w:r>
        <w:rPr>
          <w:b/>
          <w:sz w:val="24"/>
        </w:rPr>
        <w:t xml:space="preserve">1.5 Условия производства работ на площадке</w:t>
      </w:r>
    </w:p>
    <w:p>
      <w:r>
        <w:rPr>
          <w:sz w:val="20"/>
        </w:rPr>
        <w:t xml:space="preserve">Площадка размещения — промышленная площадка в городе Мончегорске Мурманской области. Условия площадки общие для всех лотов комплекса и принимаются по Техническому заданию и исходным данным Заказчика.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5400"/>
        <w:gridCol w:w="14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Условие</w:t>
            </w:r>
          </w:p>
        </w:tc>
        <w:tc>
          <w:tcPr>
            <w:tcW w:w="54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14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Наиболее холодная пятидневка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−34 °C при обеспеченности 0,98; −30 °C при 0,92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Наиболее холодные сутки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−40 °C — расчётная температура для мероприятий зимнего монтажа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Отопительный период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271 сут при средней температуре −4,5 °C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Строительно-климатическая зона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IIА, субарктический климат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Ветровая нагрузка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II ветровой район, W₀ = 0,30 кПа; зарегистрированный порыв 33 м/с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Снеговая нагрузка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V снеговой район, S₀ = 3,2 кПа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Сейсмичность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6 баллов по ОСР-2015-В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2.9.4</w:t>
            </w:r>
          </w:p>
        </w:tc>
      </w:tr>
    </w:tbl>
    <w:p>
      <w:r>
        <w:rPr>
          <w:sz w:val="20"/>
        </w:rPr>
        <w:t xml:space="preserve">Из условий площадки вытекают требования, обязательные для проекта производства работ: бетонные, футеровочные, окрасочные и герметизирующие работы при отрицательных температурах выполняются в тепляках с прогревом и контролем температуры твердения; ветровое ограничение подъёмных операций принимается по паспорту крана и снижается при подъёме крупных парусных конструкций (корпусные секции электрофильтров, царги, обечайки силосов); зарегистрированный порыв 33 м/с учитывается при назначении расчалок и временного раскрепления смонтированных, но не закреплённых окончательно конструкций; снеговая нагрузка на смонтированные горизонтальные поверхности до устройства кровли требует организованной очистки.</w:t>
      </w:r>
    </w:p>
    <w:p>
      <w:pPr>
        <w:pStyle w:val="Heading1"/>
      </w:pPr>
      <w:r>
        <w:rPr>
          <w:b/>
          <w:sz w:val="28"/>
        </w:rPr>
        <w:t xml:space="preserve">2. Ведомость тяжёлых и крупногабаритных монтажных единиц</w:t>
      </w:r>
    </w:p>
    <w:p>
      <w:r>
        <w:rPr>
          <w:sz w:val="20"/>
        </w:rPr>
        <w:t xml:space="preserve">В ведомость включены позиции, определяющие выбор грузоподъёмных механизмов, габариты монтажных проёмов и последовательность работ: наиболее тяжёлые монтажные единицы, крупногабаритные и длинномерные части, а также позиции, требующие специальных способов подачи. Массы приведены для монтажного состояния — без рабочего заполнения, футеровки по месту и съёмных элементов, если иное не оговорено в графе.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60"/>
        <w:gridCol w:w="1900"/>
        <w:gridCol w:w="1140"/>
        <w:gridCol w:w="1300"/>
        <w:gridCol w:w="1350"/>
        <w:gridCol w:w="2100"/>
        <w:gridCol w:w="1104"/>
      </w:tblGrid>
      <w:tr>
        <w:trPr>
          <w:tblHeader/>
          <w:cantSplit/>
        </w:trPr>
        <w:tc>
          <w:tcPr>
            <w:tcW w:w="460" w:type="dxa"/>
            <w:shd w:val="clear" w:fill="EFEFEF"/>
          </w:tcPr>
          <w:p>
            <w:r>
              <w:rPr>
                <w:b/>
                <w:sz w:val="15"/>
              </w:rPr>
              <w:t xml:space="preserve">Поз.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Монтажная единица</w:t>
            </w:r>
          </w:p>
        </w:tc>
        <w:tc>
          <w:tcPr>
            <w:tcW w:w="1140" w:type="dxa"/>
            <w:shd w:val="clear" w:fill="EFEFEF"/>
          </w:tcPr>
          <w:p>
            <w:r>
              <w:rPr>
                <w:b/>
                <w:sz w:val="15"/>
              </w:rPr>
              <w:t xml:space="preserve">Масса, т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5"/>
              </w:rPr>
              <w:t xml:space="preserve">Габарит, м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Отметка и место установки</w:t>
            </w:r>
          </w:p>
        </w:tc>
        <w:tc>
          <w:tcPr>
            <w:tcW w:w="2100" w:type="dxa"/>
            <w:shd w:val="clear" w:fill="EFEFEF"/>
          </w:tcPr>
          <w:p>
            <w:r>
              <w:rPr>
                <w:b/>
                <w:sz w:val="15"/>
              </w:rPr>
              <w:t xml:space="preserve">Механизм и способ подачи</w:t>
            </w:r>
          </w:p>
        </w:tc>
        <w:tc>
          <w:tcPr>
            <w:tcW w:w="110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Обжиг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Печь кипящего слоя — корпус (царга наибольшей массы)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10–15 (предварительная оценка)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Корпус Ø 6,00 / 8,39; транспортный негабарит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Опорный каркас печи; подина +4,5, свод около +13,7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Поставка царгами, укрупнительная сборка на площадке у оси печи; установка стреловым краном до закрытия теплового контура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ч.1 табл. 23, 24Б; оценка Исполнителя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2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Футеровка печи кипящего слоя — шамотная кладка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≈135 (масса материала кладки)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Толщина кладки 350 мм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Внутри корпуса печи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Ручная кладка по проекту футеровки; подача материала мостовым краном пролёта и подъёмниками; зона раскладки — у оси печи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Оценка по геометрии ИД ч.1; ИД ч.1 разд. 6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Воздуходувка дутьевая с электроприводом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изготовителя; резервируется блок массой до 60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Зона установки 6 × 4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Отдельное шумоизолированное помещение, отметка 0,000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Установка на фундаментный блок стреловым краном; выверка и подливка до подключения напорного тракта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ч.1 табл. 23; решение БИ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Котёл-утилизатор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Барабан котла-утилизатора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15–25 (ориентир по аналогам)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конструкторской документации завода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Верхняя отметка каркаса котла +18…+20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Кран большой грузовысотной характеристики либо накатка по временным путям; строповка только за штатные элементы по схеме завода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ч.1 табл. 23; аналоги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Блоки поверхностей нагрева «лист-полутруба»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3–8 (предварительная оценка)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разбивке завода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Каркас котла, отметки по конструкторской документации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укрупнёнными блоками максимальной заводской готовности мостовым или стреловым краном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ч.1 табл. 23; оценка Исполнителя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Газоход Ø 2000 «печь — котёл-утилизатор», секции с футеровкой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конструкторской документации завода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Ø 2,0; длина секции по разбивке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Между печью и котлом, верхняя зона пролёта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Укрупнение в плети на площадке, подъём мостовым краном пролёта; футеровка легковесом ШЛ-0,4 — после испытания тракта на плотность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ч.1 табл. 23, 25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Газоочистка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7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Сухой электрофильтр УГТ1-20-4 — аппарат в сборе (2 шт.)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72,6 каждый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18,11 × 4,79 × 18,70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Опорные рамы на самостоятельных фундаментах, оси кратно 6 м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Поставка секциями: корпусные царги, блоки осадительных и коронирующих электродов, бункер; аппараты монтируются первыми либо через монтажный проём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ч.1 табл. 23 п. 354–355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8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Электрофильтр — корпусная секция (наибольший монтажный блок)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15–20 (предварительная оценка)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разбивке завода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В составе корпуса электрофильтра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Гусеничный или автомобильный кран соответствующей грузовысотной характеристики до закрытия теплового контура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Оценка Исполнителя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9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Циклон СЦН-50-1800×1УП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1,19 (корпус); с пылью в бункере 17,4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Высота 6,10; бункер 8,5 м³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Этажерка газоочистки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единым блоком мостовым или стреловым краном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ч.1 табл. 23 п. 302, 312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10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Дымосос ДН-15БНЖ — улитка (2 шт.)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3,32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конструкторской документации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Отметка 0,000, индивидуальные фундаменты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Установка на общую раму с электродвигателем; выверка соосности и подливка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ч.1 табл. 23 п. 392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11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Электродвигатель дымососа ДА304-400Х-4 (2 шт.)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2,32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конструкторской документации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Общая рама агрегата, отметка 0,000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Установка на раму после выверки улитки; центровка валов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ч.1 табл. 23 п. 397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12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Газоход Ø 1100 на эстакаде в сернокислотный цех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конструкторской документации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Ø 1,1; длина по трассировке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Наружная эстакада, отметки по генплану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Укрупнение в плети на площадке и подъём стреловым краном; трасса согласуется с генеральным проектировщиком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ч.1 табл. 23; решение БИ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Охлаждение и отгрузка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13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Шнековый холодильник огарка и грубой пыли D2424-6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12–18 (предварительная оценка)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Два шнека Ø 0,61, длина корпуса около 9,6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Под сливным порогом печи, +5,2…+5,5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Подача под порог печи мостовым краном пролёта до монтажа обвязки; выверка по патрубку порога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ч.1 табл. 23; оценка Исполнителя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14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Шнековый холодильник тонкой пыли S710-4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Один шнек Ø 0,187, длина 3,05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Этажерка охлаждения рядом с холодильником огарка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единым блоком мостовым краном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ч.1 табл. 23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15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Силосная башня охлаждённого огарка, 100 м³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конструкторской документации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Обечайка объёмом 100 м³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Пристройка у автопроезда; низ конуса +4,2, верх около +17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Два способа: доставка цельносварной обечайки как транспортного негабарита с согласованием перевозки либо полистовая сборка и сварка на месте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ч.1 табл. 25; компоновка БИ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16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Силосная башня охлаждённой тонкой пыли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конструкторской документации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Обечайка типа силосной башни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Пристройка рядом с силосом огарка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Способ доставки — по результатам логистической проработки, аналогично силосу огарка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ч.1 табл. 25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Шихтоподготовка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17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Приёмные бункера концентрата, оборотного огарка, кека и цементной меди (60 / 50 / 20 / 10 м³)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конструкторской документации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Цилиндрические с коническими днищами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Бункерная этажерка, верх загрузочных конвейеров +14…+16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на этажерку стреловым краном до закрытия контура либо через монтажный проём; футеровка полиэтиленом — на площадке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ч.1 табл. 25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18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Расходные бункера шихты 2 × 60 м³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конструкторской документации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Цилиндрические с коническими днищами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Опорный каркас у печи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на опорный каркас до монтажа наклонного конвейера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ч.1 табл. 25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Фильтрация концентрата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19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Барабанные вакуум-фильтры 2 × 32 м²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Определяется техническим предложением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Перекрытие отделения фильтрации +6,0 (предварительно)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Подача на перекрытие через монтажный проём краном или кран-балкой отделения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ТЗ п. 3.4; компоновка БИ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Подъёмно-транспортное оборудование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20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Мостовой кран пролёта печи и котла-утилизатора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Мост и тележка — по ТКП; грузоподъёмность предварительно 20/5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компоновке пролёта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Подкрановые пути пролёта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Монтируется на раннем этапе и далее используется как основной монтажный механизм внутренних узлов; грузоподъёмность проверяется по массе барабана котла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Компоновка БИ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2.1 Примечания к ведомости</w:t>
      </w:r>
    </w:p>
    <w:p>
      <w:r>
        <w:rPr>
          <w:sz w:val="20"/>
        </w:rPr>
        <w:t xml:space="preserve">1. Масса печи с футеровкой 200–230 т — предварительная оценка Исполнителя по геометрии: шамот около 135 т при толщине кладки 350 мм, подина около 30 т, корпус и свод 40–60 т. Значение уточняется конструкторской документацией печи и не является массой монтажной единицы: корпус поставляется царгами.</w:t>
      </w:r>
    </w:p>
    <w:p>
      <w:r>
        <w:rPr>
          <w:sz w:val="20"/>
        </w:rPr>
        <w:t xml:space="preserve">2. Массы барабана и блоков поверхностей нагрева котла-утилизатора, воздуходувки, холодильников и рукавных фильтров вносятся в ведомость итерацией по мере получения конструкторской документации и технических предложений. До их получения в расчёт грузоподъёмности механизмов принимается верхняя граница приведённых диапазонов.</w:t>
      </w:r>
    </w:p>
    <w:p>
      <w:r>
        <w:rPr>
          <w:sz w:val="20"/>
        </w:rPr>
        <w:t xml:space="preserve">3. Ведомость содержит массы монтажных единиц. Эксплуатационные массы аппаратов с заполнением (электрофильтр с пылью 89,7 т, циклон с пылью 17,4 т, силос огарка с материалом 221 т, печь со слоем 139 т, бункеры шихтоподготовки с материалом 132,6 / 149,3 / 27,0 / 30,0 т, расходные бункеры 125,0 т суммарно) относятся к нагрузкам на строительные конструкции и приведены в документе планов строительных конструкций и фундаментов.</w:t>
      </w:r>
    </w:p>
    <w:p>
      <w:r>
        <w:rPr>
          <w:sz w:val="20"/>
        </w:rPr>
        <w:t xml:space="preserve">4. Пылевые отложения газоходов (до 50 т на участке «печь — котёл-утилизатор», до 50 т на участке «котёл-утилизатор — циклон», до 10 т на участке «циклон — электрофильтры») относятся к эксплуатационным нагрузкам и в монтажных расчётах не учитываются, но определяют требования к ревизионным люкам и доступу для очистки, закладываемые при монтаже тракта.</w:t>
      </w:r>
    </w:p>
    <w:p>
      <w:pPr>
        <w:pStyle w:val="Heading1"/>
      </w:pPr>
      <w:r>
        <w:rPr>
          <w:b/>
          <w:sz w:val="28"/>
        </w:rPr>
        <w:t xml:space="preserve">3. Доставка на площадку и транспортабельность</w:t>
      </w:r>
    </w:p>
    <w:p>
      <w:r>
        <w:rPr>
          <w:sz w:val="20"/>
        </w:rPr>
        <w:t xml:space="preserve">Транспортными негабаритами по условиям поставки являются корпус печи кипящего слоя (диаметр 6,00 / 8,39 м) и цельносварная обечайка силосной башни объёмом 100 м³. Корпус печи поставляется царгами с укрупнительной сборкой на площадке у оси печи. По силосным башням в составе Базового инжиниринга сопоставляются два способа: доставка цельной обечайки с согласованием маршрута и разрешением на перевозку крупногабаритного груза либо полистовая поставка с раскроем и сваркой корпуса на месте.</w:t>
      </w:r>
    </w:p>
    <w:p>
      <w:r>
        <w:rPr>
          <w:sz w:val="20"/>
        </w:rPr>
        <w:t xml:space="preserve">Корпусные секции электрофильтров, блоки поверхностей нагрева котла-утилизатора и барабан относятся к тяжёлым грузам: маршруты перевозки по площадке, несущая способность внутриплощадочных проездов и мостовых сооружений согласуются с Заказчиком до начала поставок. Весовой контроль транспортных единиц при перевозке по площадке обязателен.</w:t>
      </w:r>
    </w:p>
    <w:p>
      <w:r>
        <w:rPr>
          <w:sz w:val="20"/>
        </w:rPr>
        <w:t xml:space="preserve">На площадке предусматриваются площадка укрупнительной сборки у оси печи с твёрдым покрытием и стендами под царги и корпусные секции, а также площадка складирования футеровочных материалов с закрытым хранением шамота и мертелей (защита от увлажнения). Размеры и покрытие площадок определяются проектом производства работ.</w:t>
      </w:r>
    </w:p>
    <w:p>
      <w:r>
        <w:rPr>
          <w:sz w:val="20"/>
        </w:rPr>
        <w:t xml:space="preserve">Приёмка оборудования на площадке выполняется с проверкой комплектности по отгрузочным документам, сохранности упаковки и консервации, наличия паспортов, сертификатов и деклараций соответствия. Условия и сроки хранения до монтажа принимаются по инструкции изготовителя; порядок расконсервации перед монтажом оформляется актом.</w:t>
      </w:r>
    </w:p>
    <w:p>
      <w:pPr>
        <w:pStyle w:val="Heading1"/>
      </w:pPr>
      <w:r>
        <w:rPr>
          <w:b/>
          <w:sz w:val="28"/>
        </w:rPr>
        <w:t xml:space="preserve">4. Монтажные проёмы и пути подачи оборудования</w:t>
      </w:r>
    </w:p>
    <w:p>
      <w:r>
        <w:rPr>
          <w:sz w:val="20"/>
        </w:rPr>
        <w:t xml:space="preserve">В покрытии и перекрытиях предусматриваются монтажные проёмы над печью кипящего слоя и над электрофильтрами. Проёмы назначаются по наибольшему монтажному блоку с запасом на строповку и наклон груза; расположение увязывается с осями подкрановых путей и конструкциями покрытия. Съёмные участки покрытия и ограждающих конструкций в зоне проёмов выполняются разборными для повторного вскрытия при капитальном ремонте.</w:t>
      </w:r>
    </w:p>
    <w:p>
      <w:r>
        <w:rPr>
          <w:sz w:val="20"/>
        </w:rPr>
        <w:t xml:space="preserve">Основной путь подачи крупногабарита — установка аппаратов до закрытия теплового контура здания. Электрофильтры, барабан и блоки котла-утилизатора, царги печи и силосные башни монтируются в этот период; порядок работ синхронизируется с монтажом каркаса и кровли.</w:t>
      </w:r>
    </w:p>
    <w:p>
      <w:r>
        <w:rPr>
          <w:sz w:val="20"/>
        </w:rPr>
        <w:t xml:space="preserve">Наземные пути подачи: сквозной проезд с воротами в торцах здания, используемый в эксплуатации для автоцементовозов и вывоза кюбелей, на период монтажа служит трассой подачи оборудования и стоянкой стрелового крана. Ширина проезда, радиусы поворота и покрытие проверяются под наибольшую транспортную единицу.</w:t>
      </w:r>
    </w:p>
    <w:p>
      <w:r>
        <w:rPr>
          <w:sz w:val="20"/>
        </w:rPr>
        <w:t xml:space="preserve">Для доставки материалов футеровки и оборудования на верхние отметки предусматриваются зона раскладки у оси печи и грузовой подъёмник; полезная нагрузка ремонтных зон и зон складирования футеровки принята 10 кПа, что позволяет использовать их и при монтаже, и при капитальном ремонте.</w:t>
      </w:r>
    </w:p>
    <w:p>
      <w:r>
        <w:rPr>
          <w:sz w:val="20"/>
        </w:rPr>
        <w:t xml:space="preserve">Габариты монтажных проёмов назначаются по наибольшей монтажной единице с запасом на строповку, наклон и разворот груза. Проёмы и пути подачи наносятся на планы и разрезы компоновочных решений лота; конструкции, закрывающие проёмы, выполняются съёмными, если проём используется при последующих ремонтах.</w:t>
      </w:r>
    </w:p>
    <w:p>
      <w:pPr>
        <w:pStyle w:val="Heading1"/>
      </w:pPr>
      <w:r>
        <w:rPr>
          <w:b/>
          <w:sz w:val="28"/>
        </w:rPr>
        <w:t xml:space="preserve">5. Последовательность крупноблочного монтажа</w:t>
      </w:r>
    </w:p>
    <w:p>
      <w:r>
        <w:rPr>
          <w:sz w:val="20"/>
        </w:rPr>
        <w:t xml:space="preserve">Последовательность приведена как требование Базового инжиниринга к организации работ. Календарные сроки, совмещение этапов и потребность в ресурсах определяются проектом производства работ; переход к следующему этапу допускается после выполнения условия, указанного в таблице.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60"/>
        <w:gridCol w:w="3800"/>
        <w:gridCol w:w="2900"/>
        <w:gridCol w:w="2094"/>
      </w:tblGrid>
      <w:tr>
        <w:trPr>
          <w:tblHeader/>
          <w:cantSplit/>
        </w:trPr>
        <w:tc>
          <w:tcPr>
            <w:tcW w:w="560" w:type="dxa"/>
            <w:shd w:val="clear" w:fill="EFEFEF"/>
          </w:tcPr>
          <w:p>
            <w:r>
              <w:rPr>
                <w:b/>
                <w:sz w:val="15"/>
              </w:rPr>
              <w:t xml:space="preserve">Этап</w:t>
            </w:r>
          </w:p>
        </w:tc>
        <w:tc>
          <w:tcPr>
            <w:tcW w:w="3800" w:type="dxa"/>
            <w:shd w:val="clear" w:fill="EFEFEF"/>
          </w:tcPr>
          <w:p>
            <w:r>
              <w:rPr>
                <w:b/>
                <w:sz w:val="15"/>
              </w:rPr>
              <w:t xml:space="preserve">Состав работ</w:t>
            </w:r>
          </w:p>
        </w:tc>
        <w:tc>
          <w:tcPr>
            <w:tcW w:w="2900" w:type="dxa"/>
            <w:shd w:val="clear" w:fill="EFEFEF"/>
          </w:tcPr>
          <w:p>
            <w:r>
              <w:rPr>
                <w:b/>
                <w:sz w:val="15"/>
              </w:rPr>
              <w:t xml:space="preserve">Условие начала и завершения</w:t>
            </w:r>
          </w:p>
        </w:tc>
        <w:tc>
          <w:tcPr>
            <w:tcW w:w="2094" w:type="dxa"/>
            <w:shd w:val="clear" w:fill="EFEFEF"/>
          </w:tcPr>
          <w:p>
            <w:r>
              <w:rPr>
                <w:b/>
                <w:sz w:val="15"/>
              </w:rPr>
              <w:t xml:space="preserve">Механизмы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Фундаменты оборудования и опорных каркасов, анкерные и закладные детали, подливка; временные дороги, площадки укрупнительной сборки и стоянки кранов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 готовности площадки; завершение — акт готовности фундаментов с исполнительной схемой осей и отметок, набор прочности подливки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Средства строительной части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каркаса пролёта печи и котла-утилизатора, подкрановых балок и мостового крана пролёта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после приёмки фундаментов; завершение — полное техническое освидетельствование крана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Стреловой кран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Установка крупногабаритного оборудования до закрытия теплового контура: электрофильтры, барабан и блоки поверхностей нагрева котла-утилизатора, царги корпуса печи, силосные башни, бункеры шихтоподготовки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после приёмки фундаментов и опорных рам; завершение — выверка и закрепление аппаратов в проектном положении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Гусеничный или автомобильный кран; мостовой кран пролёта; накаточные средства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4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каркаса и ограждающих конструкций здания, покрытия и кровли; закрытие монтажных проёмов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после установки аппаратов, требующих подачи сверху; завершение — закрытие теплового контура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Стреловой кран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5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газоходов, воздуховодов и трубопроводных трасс; испытание газового тракта на плотность; футеровка газоходов легковесом ШЛ-0,4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Футеровка тракта выполняется только после положительных результатов испытания на плотность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Мостовой кран пролёта; такелажные средства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6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Кладка футеровки печи кипящего слоя и футеровка бункеров полиэтиленом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после закрытия теплового контура и приёмки корпуса; завершение — пооперационная приёмка кладки с актами освидетельствования скрытых работ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Мостовой кран пролёта; подъёмники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7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вращающихся машин с выверкой и центровкой: дымососы, воздуходувка, конвейерное и шнековое оборудование; подливка рам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после набора прочности фундаментов; завершение — протоколы центровки и вибрационной приёмки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Мостовой кран, кран-балки, такелажные средства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8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кислородопровода, мазутного узла и технологических трубопроводов; теплоизоляция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Кислородные линии — с обезжириванием элементов и оформлением по завершении работ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Такелажные средства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9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электротехнической части, приборов контроля и автоматизации, кабельных трасс и оборудования автоматизированной системы управления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после завершения тепловых и механомонтажных работ в зоне; завершение — поканальная проверка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Средства монтажа систем автоматизации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10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Индивидуальные испытания механизмов, холодные испытания трактов, гидравлическое испытание котла-утилизатора; передача оборудования в пусконаладку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Завершение — акт о выполнении монтажных работ; сушка и разогрев футеровки печи выполняются в составе программы пусконаладки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Средства испытаний и наладки</w:t>
            </w:r>
          </w:p>
        </w:tc>
      </w:tr>
    </w:tbl>
    <w:p>
      <w:r>
        <w:rPr>
          <w:sz w:val="20"/>
        </w:rPr>
        <w:t xml:space="preserve">Ограничение последовательности: аппараты, устанавливаемые до закрытия теплового контура, определяют критический путь монтажа цеха. Их поставка относится к оборудованию длительного цикла изготовления и планируется раньше остальных позиций; сроки поставки увязываются с графиком строительных работ.</w:t>
      </w:r>
    </w:p>
    <w:p>
      <w:pPr>
        <w:pStyle w:val="Heading1"/>
      </w:pPr>
      <w:r>
        <w:rPr>
          <w:b/>
          <w:sz w:val="28"/>
        </w:rPr>
        <w:t xml:space="preserve">6. Грузоподъёмные механизмы и такелаж</w:t>
      </w:r>
    </w:p>
    <w:p>
      <w:r>
        <w:rPr>
          <w:sz w:val="20"/>
        </w:rPr>
        <w:t xml:space="preserve">Потребность в грузоподъёмных механизмах определена по ведомости раздела 2: требуемая грузоподъёмность назначена по наибольшей монтажной единице с учётом массы траверсы и оснастки, требуемая высота подъёма — по наибольшей отметке установки с запасом на строповку.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200"/>
        <w:gridCol w:w="2700"/>
        <w:gridCol w:w="3300"/>
        <w:gridCol w:w="1154"/>
      </w:tblGrid>
      <w:tr>
        <w:trPr>
          <w:tblHeader/>
          <w:cantSplit/>
        </w:trPr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Механизм, оснастка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Назначение в монтаже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5"/>
              </w:rPr>
              <w:t xml:space="preserve">Требуемая характеристика</w:t>
            </w:r>
          </w:p>
        </w:tc>
        <w:tc>
          <w:tcPr>
            <w:tcW w:w="11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Гусеничный или автомобильный стреловой кран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Установка крупногабаритного оборудования до закрытия теплового контура: электрофильтры, котёл-утилизатор, царги печи, силосные башни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Грузоподъёмность на рабочем вылете не ниже массы наибольшего монтажного блока: предварительно 25 т (верхняя граница оценки массы барабана котла-утилизатора) с добавлением массы траверсы и оснастки; высота подъёма не ниже отметки установки барабана +18…+20 с запасом на строповку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Ведомость разд. 2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Мостовой кран пролёта печи и котла-утилизатора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Монтаж внутренних узлов, подача футеровочных материалов, обслуживание в эксплуатации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Грузоподъёмность предварительно 20/5 т; окончательно назначается после фиксации массы барабана котла-утилизатора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Компоновка БИ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Кран-балки пролёта дымососов и отделения фильтрации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Монтаж и ремонт вращающихся машин и вакуум-фильтров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Грузоподъёмность 5 т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Компоновка БИ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Накаточные пути, полиспастные и домкратные системы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Подъём барабана котла-утилизатора и надвижка корпусных секций электрофильтров при недостаточной грузовысотной характеристике крана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Применяются как альтернатива крану большой грузовысотности; схема и расчёт — в проекте производства работ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ИД ч.1 табл. 23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Траверсы и грузозахватные приспособления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Подъём корпусных секций, барабана, царг, обечаек силосов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Строповка только за штатные элементы по схемам заводов-изготовителей; траверсы — с испытаниями после изготовления и периодическими осмотрами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ФНП № 461</w:t>
            </w:r>
          </w:p>
        </w:tc>
      </w:tr>
    </w:tbl>
    <w:p>
      <w:r>
        <w:rPr>
          <w:sz w:val="20"/>
        </w:rPr>
        <w:t xml:space="preserve">Работы с применением подъёмных сооружений выполняются по проекту производства работ с применением подъёмных сооружений, разрабатываемому монтажной организацией. В нём определяются стоянки кранов, схемы строповки конкретных грузов, опасные зоны, нагрузки на основания под опорами и мероприятия при работе вблизи существующих конструкций и действующих коммуникаций.</w:t>
      </w:r>
    </w:p>
    <w:p>
      <w:r>
        <w:rPr>
          <w:sz w:val="20"/>
        </w:rPr>
        <w:t xml:space="preserve">Строповка оборудования выполняется только за штатные строповочные элементы по схемам заводов-изготовителей. Схема строповки, координаты центра тяжести и допустимые точки опирания при промежуточном складировании входят в комплект поставки и являются обязательным полем опросного листа.</w:t>
      </w:r>
    </w:p>
    <w:p>
      <w:r>
        <w:rPr>
          <w:sz w:val="20"/>
        </w:rPr>
        <w:t xml:space="preserve">Подъёмные сооружения, съёмные грузозахватные приспособления и тара проходят освидетельствование в установленном порядке; персонал, выполняющий подъёмные операции, аттестуется. Смонтированные краны вводятся в работу после полного технического освидетельствования.</w:t>
      </w:r>
    </w:p>
    <w:p>
      <w:r>
        <w:rPr>
          <w:sz w:val="20"/>
        </w:rPr>
        <w:t xml:space="preserve">Монтажные нагрузки на перекрытия и площадки от временного складирования, опор оснастки и проезда техники проверяются расчётом до начала работ. Нагрузки, превышающие принятые в документе планов конструкций и фундаментов, требуют согласования с проектной организацией.</w:t>
      </w:r>
    </w:p>
    <w:p>
      <w:pPr>
        <w:pStyle w:val="Heading1"/>
      </w:pPr>
      <w:r>
        <w:rPr>
          <w:b/>
          <w:sz w:val="28"/>
        </w:rPr>
        <w:t xml:space="preserve">7. Особые требования по видам работ</w:t>
      </w:r>
    </w:p>
    <w:p>
      <w:pPr>
        <w:pStyle w:val="Heading2"/>
      </w:pPr>
      <w:r>
        <w:rPr>
          <w:b/>
          <w:sz w:val="24"/>
        </w:rPr>
        <w:t xml:space="preserve">7.1 Кладка и сушка футеровки печи кипящего слоя</w:t>
      </w:r>
    </w:p>
    <w:p>
      <w:r>
        <w:rPr>
          <w:sz w:val="20"/>
        </w:rPr>
        <w:t xml:space="preserve">Объём кладки — около 135 т шамота при толщине футеровки 350 мм. Кладка выполняется вручную по проекту футеровки поставщика печи с соблюдением перевязки, температурных швов и зазоров. Приёмка — пооперационная, с актами освидетельствования скрытых работ на каждый закрываемый слой.</w:t>
      </w:r>
    </w:p>
    <w:p>
      <w:r>
        <w:rPr>
          <w:sz w:val="20"/>
        </w:rPr>
        <w:t xml:space="preserve">Сушка и разогрев нового массива футеровки выполняются по кривой проекта футеровки: продолжительность первичной сушки 10–30 сут при медленном подъёме температуры с контролем по термопарам кладки. Средства разогрева — дрова на начальном этапе и три разогревные мазутные горелки МГМГ-10 расходом до 975 кг/ч каждая. Кривая сушки, скорость подъёма температуры и контрольные точки задаются проектом футеровки; до его получения позиция остаётся открытой.</w:t>
      </w:r>
    </w:p>
    <w:p>
      <w:r>
        <w:rPr>
          <w:sz w:val="20"/>
        </w:rPr>
        <w:t xml:space="preserve">Регламент разогрева до пуска: розжиг дровами до 250–350 °C, загрузка 80–100 т огарка, разогрев горелками до 500–600 °C, слабое кипение при подаче воздуха 12–13 тыс. нм³/ч, выход на 850–880 °C и перевод на кислородно-воздушное дутьё с подачей шихты. Работы выполняются в составе программы пусконаладки; требования к испытаниям и приёмке приведены в соответствующем документе выпуска.</w:t>
      </w:r>
    </w:p>
    <w:p>
      <w:r>
        <w:rPr>
          <w:sz w:val="20"/>
        </w:rPr>
        <w:t xml:space="preserve">Ремонтный цикл учитывается при монтаже: кампания печи 3 года, капитальный ремонт 29–31 сут (охлаждение 2 сут, разборка 10 сут, кладка 14 сут, сушка 3–5 сут). Пути подачи материалов, зона раскладки футеровки с полезной нагрузкой 10 кПа и съёмные участки ограждающих конструкций закладываются при монтаже и сохраняются на весь срок эксплуатации.</w:t>
      </w:r>
    </w:p>
    <w:p>
      <w:pPr>
        <w:pStyle w:val="Heading2"/>
      </w:pPr>
      <w:r>
        <w:rPr>
          <w:b/>
          <w:sz w:val="24"/>
        </w:rPr>
        <w:t xml:space="preserve">7.2 Сварка газоходов и элементов, работающих под давлением</w:t>
      </w:r>
    </w:p>
    <w:p>
      <w:r>
        <w:rPr>
          <w:sz w:val="20"/>
        </w:rPr>
        <w:t xml:space="preserve">Монтажная сварка газоходов из стали 09Г2С и коллекторов котла-утилизатора выполняется по аттестованным технологиям аттестованным персоналом. Контроль сварных соединений несущих и ограждающих конструкций — по СП 70.13330.2012; контроль элементов, работающих под давлением, — в объёме, установленном федеральными нормами и правилами для оборудования под давлением.</w:t>
      </w:r>
    </w:p>
    <w:p>
      <w:r>
        <w:rPr>
          <w:sz w:val="20"/>
        </w:rPr>
        <w:t xml:space="preserve">Опоры и подвески поверхностей нагрева котла-утилизатора выверяются с учётом тепловых расширений по конструкторской документации завода. Гидравлическое испытание выполняется после завершения монтажа и до нанесения изоляции и обмуровки; пробное давление принимается по расчёту на прочность завода-изготовителя, ориентир — 1,25 расчётного.</w:t>
      </w:r>
    </w:p>
    <w:p>
      <w:r>
        <w:rPr>
          <w:sz w:val="20"/>
        </w:rPr>
        <w:t xml:space="preserve">Футеровка газоходов легковесным материалом ШЛ-0,4 выполняется только после положительных результатов испытания тракта на плотность: обратный порядок работ потребовал бы разрушения футеровки при устранении неплотностей.</w:t>
      </w:r>
    </w:p>
    <w:p>
      <w:pPr>
        <w:pStyle w:val="Heading2"/>
      </w:pPr>
      <w:r>
        <w:rPr>
          <w:b/>
          <w:sz w:val="24"/>
        </w:rPr>
        <w:t xml:space="preserve">7.3 Монтаж кислородопровода</w:t>
      </w:r>
    </w:p>
    <w:p>
      <w:r>
        <w:rPr>
          <w:sz w:val="20"/>
        </w:rPr>
        <w:t xml:space="preserve">Кислородные линии монтируются с обезжириванием элементов трубопровода, арматуры и инструмента, с применением материалов и уплотнений, допущенных к работе в среде кислорода. Работы выполняются по федеральным нормам и правилам, устанавливающим требования к производствам с применением кислорода. Контроль качества обезжиривания и герметичности оформляется отдельными актами до подачи среды.</w:t>
      </w:r>
    </w:p>
    <w:p>
      <w:pPr>
        <w:pStyle w:val="Heading2"/>
      </w:pPr>
      <w:r>
        <w:rPr>
          <w:b/>
          <w:sz w:val="24"/>
        </w:rPr>
        <w:t xml:space="preserve">7.4 Выверка и центровка машин с вращающимися роторами</w:t>
      </w:r>
    </w:p>
    <w:p>
      <w:r>
        <w:rPr>
          <w:sz w:val="20"/>
        </w:rPr>
        <w:t xml:space="preserve">Дымососы и приводные электродвигатели устанавливаются на общую раму с последующей выверкой соосности валов лазерной центровкой; допуски принимаются по паспорту изготовителя, класс точности балансировки — G6.3. Подливка рам выполняется безусадочными составами после завершения выверки.</w:t>
      </w:r>
    </w:p>
    <w:p>
      <w:r>
        <w:rPr>
          <w:sz w:val="20"/>
        </w:rPr>
        <w:t xml:space="preserve">Приёмка вращающихся машин по завершении монтажа включает вибрационные измерения на холостом ходу с оформлением протокола. Фундаментные блоки дымососов и воздуходувки отделяются от плиты пола сквозным швом; целостность шва проверяется до подливки.</w:t>
      </w:r>
    </w:p>
    <w:p>
      <w:pPr>
        <w:pStyle w:val="Heading2"/>
      </w:pPr>
      <w:r>
        <w:rPr>
          <w:b/>
          <w:sz w:val="24"/>
        </w:rPr>
        <w:t xml:space="preserve">7.5 Испытания трактов в объёме монтажных работ</w:t>
      </w:r>
    </w:p>
    <w:p>
      <w:r>
        <w:rPr>
          <w:sz w:val="20"/>
        </w:rPr>
        <w:t xml:space="preserve">Газовый тракт после монтажа опрессовывается воздухом с инструментальной проверкой присосов. Приёмочный критерий герметичности принят по балансовым значениям исходных данных: подсосы не выше 4,9 % по котлу-утилизатору, 3,1 % по циклону и 1,5 % по электрофильтру. Тракт, не отвечающий критерию, дорабатывается до футеровки и теплоизоляции.</w:t>
      </w:r>
    </w:p>
    <w:p>
      <w:pPr>
        <w:pStyle w:val="Heading2"/>
      </w:pPr>
      <w:r>
        <w:rPr>
          <w:b/>
          <w:sz w:val="24"/>
        </w:rPr>
        <w:t xml:space="preserve">7.6 Монтаж в зимний период</w:t>
      </w:r>
    </w:p>
    <w:p>
      <w:r>
        <w:rPr>
          <w:sz w:val="20"/>
        </w:rPr>
        <w:t xml:space="preserve">Бетонные, футеровочные и герметизирующие работы при отрицательных температурах выполняются в тепляках с прогревом и контролем температуры твердения; расчётная температура для мероприятий зимнего монтажа — минус 40 °C. Сроки выполнения работ, чувствительных к температуре, увязываются с графиком закрытия теплового контура здания.</w:t>
      </w:r>
    </w:p>
    <w:p>
      <w:pPr>
        <w:pStyle w:val="Heading1"/>
      </w:pPr>
      <w:r>
        <w:rPr>
          <w:b/>
          <w:sz w:val="28"/>
        </w:rPr>
        <w:t xml:space="preserve">8. Требования монтажной технологичности к поставке</w:t>
      </w:r>
    </w:p>
    <w:p>
      <w:r>
        <w:rPr>
          <w:sz w:val="20"/>
        </w:rPr>
        <w:t xml:space="preserve">Требования монтажной технологичности закладываются в опросные листы и технические условия поставки до запроса технико-коммерческих предложений: без них масса самой тяжёлой неразъёмной части и способ подачи оборудования остаются неопределёнными до поставки, а изменение грузоподъёмности механизма или габарита монтажного проёма на поздней стадии влечёт переработку строительных решений.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50"/>
        <w:gridCol w:w="4900"/>
        <w:gridCol w:w="2004"/>
      </w:tblGrid>
      <w:tr>
        <w:trPr>
          <w:tblHeader/>
          <w:cantSplit/>
        </w:trPr>
        <w:tc>
          <w:tcPr>
            <w:tcW w:w="2450" w:type="dxa"/>
            <w:shd w:val="clear" w:fill="EFEFEF"/>
          </w:tcPr>
          <w:p>
            <w:r>
              <w:rPr>
                <w:b/>
                <w:sz w:val="15"/>
              </w:rPr>
              <w:t xml:space="preserve">Требование</w:t>
            </w:r>
          </w:p>
        </w:tc>
        <w:tc>
          <w:tcPr>
            <w:tcW w:w="4900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  <w:tc>
          <w:tcPr>
            <w:tcW w:w="2004" w:type="dxa"/>
            <w:shd w:val="clear" w:fill="EFEFEF"/>
          </w:tcPr>
          <w:p>
            <w:r>
              <w:rPr>
                <w:b/>
                <w:sz w:val="15"/>
              </w:rPr>
              <w:t xml:space="preserve">Куда транслируется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Масса транспортной и монтажной единицы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Масса каждой транспортной единицы и каждого монтажного блока с указанием единиц измерения и допускаемого отклонения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ведомость разд. 2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Масса самой тяжёлой неразъёмной части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Отдельно указывается масса самой тяжёлой неразъёмной части поставки — она определяет требуемую грузоподъёмность механизма и допустимость монтажа цеховыми средствами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технические условия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Координаты центра тяжести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Координаты центра тяжести транспортных и монтажных единиц в трёх осях с привязкой к габаритному чертежу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Деление на транспортабельные и монтажные блоки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Схема деления с указанием расположения монтажных стыков, требований к сборке под сварку и объёма работ, выполняемых на площадке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задание на изготовление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Штатные строповочные элементы и схема строповки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Конструкция и расположение строповочных элементов, схема строповки, допустимые углы наклона ветвей, требования к траверсам и подкладкам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комплект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Габариты транспортных мест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Габаритные размеры транспортных мест, признак негабаритности и требования к специальной перевозке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технические условия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Требования к укрупнительной сборке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Потребность и состав укрупнительной сборки на площадке, требования к стендам, оснастке и площадкам сборки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проект производства работ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Опорные узлы и допуски установки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Конструкция опорных узлов, схема нагрузок на опоры, допуски выверки по высоте, в плане и по вертикали, требования к подливке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задание строительной части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Упаковка, консервация и хранение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Требования к упаковке и транспортированию, в том числе к поставке в районы Крайнего Севера; сроки и условия хранения, порядок расконсервации перед монтажом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Технические условия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Шеф-монтаж и участие изготовителя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Объём шеф-монтажа, пусконаладки и обучения персонала, включаемый в поставку; перечень операций, выполняемых только под надзором изготовителя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Технические условия поставки; договор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Монтажный инструмент и запасные части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Специальный инструмент, оснастка и запасные части, необходимые при монтаже и первом запуске, включаемые в комплект поставки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комплект поставки</w:t>
            </w:r>
          </w:p>
        </w:tc>
      </w:tr>
    </w:tbl>
    <w:p>
      <w:r>
        <w:rPr>
          <w:sz w:val="20"/>
        </w:rPr>
        <w:t xml:space="preserve">Полученные от изготовителей значения вносятся в ведомость раздела 2 итерацией; после каждой итерации проверяются требуемая грузоподъёмность механизмов, габариты монтажных проёмов и монтажные нагрузки на строительные конструкции.</w:t>
      </w:r>
    </w:p>
    <w:p>
      <w:pPr>
        <w:pStyle w:val="Heading1"/>
      </w:pPr>
      <w:r>
        <w:rPr>
          <w:b/>
          <w:sz w:val="28"/>
        </w:rPr>
        <w:t xml:space="preserve">9. Приёмка монтажных работ и передача в пусконаладку</w:t>
      </w:r>
    </w:p>
    <w:p>
      <w:r>
        <w:rPr>
          <w:sz w:val="20"/>
        </w:rPr>
        <w:t xml:space="preserve">Приёмка ведётся поэтапно, с оформлением документов на каждом этапе. Работы, результаты которых закрываются последующими операциями, предъявляются к освидетельствованию до их закрытия.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50"/>
        <w:gridCol w:w="4550"/>
        <w:gridCol w:w="2354"/>
      </w:tblGrid>
      <w:tr>
        <w:trPr>
          <w:tblHeader/>
          <w:cantSplit/>
        </w:trPr>
        <w:tc>
          <w:tcPr>
            <w:tcW w:w="2450" w:type="dxa"/>
            <w:shd w:val="clear" w:fill="EFEFEF"/>
          </w:tcPr>
          <w:p>
            <w:r>
              <w:rPr>
                <w:b/>
                <w:sz w:val="15"/>
              </w:rPr>
              <w:t xml:space="preserve">Этап приёмки</w:t>
            </w:r>
          </w:p>
        </w:tc>
        <w:tc>
          <w:tcPr>
            <w:tcW w:w="4550" w:type="dxa"/>
            <w:shd w:val="clear" w:fill="EFEFEF"/>
          </w:tcPr>
          <w:p>
            <w:r>
              <w:rPr>
                <w:b/>
                <w:sz w:val="15"/>
              </w:rPr>
              <w:t xml:space="preserve">Что предъявляется</w:t>
            </w:r>
          </w:p>
        </w:tc>
        <w:tc>
          <w:tcPr>
            <w:tcW w:w="2354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Передача фундаментов под монтаж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Готовность фундаментов и опорных конструкций, положение анкерных и закладных деталей, фактические отметки и оси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Акт передачи фундаментов под монтаж с исполнительной геодезической схемой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Освидетельствование скрытых работ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Подливка опорных рам, кладка футеровки, слои кислотозащиты и антикоррозионных покрытий, закладные детали, изолирующие узлы — до их закрытия последующими работами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Акты освидетельствования скрытых работ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Приёмка сварных соединений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Журналы сварочных работ, документы об аттестации технологий и персонала, результаты неразрушающего контроля в объёме, установленном опросными листами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Заключения по контролю; исполнительные схемы швов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Выверка и закрепление оборудования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Фактическое положение оборудования по высоте, в плане и по вертикали; результаты центровки валов и контроля затяжки соединений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Исполнительные схемы установки; протоколы центровки и затяжки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Испытания в объёме монтажных работ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Испытания трубопроводов и трактов на прочность и плотность, гидравлические испытания аппаратов, контроль электроизоляции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Протоколы и акты испытаний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Индивидуальные испытания оборудования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Работа механизмов на холостом ходу, направления вращения, действие блокировок и сигнализации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Акты индивидуальных испытаний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Передача оборудования в пусконаладку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Комплектность смонтированного оборудования, устранение замечаний, комплект исполнительной документации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Акт о выполнении монтажных работ</w:t>
            </w:r>
          </w:p>
        </w:tc>
      </w:tr>
    </w:tbl>
    <w:p>
      <w:r>
        <w:rPr>
          <w:sz w:val="20"/>
        </w:rPr>
        <w:t xml:space="preserve">Комплексное опробование под нагрузкой, пусконаладочные работы и гарантийные испытания выполняются после передачи оборудования в пусконаладку; требования к ним приведены в документе выпуска по испытаниям и приёмке соответствующего лота. Исполнительная документация монтажных работ передаётся Заказчику в составе комплекта, состав которого фиксируется до начала строительно-монтажных работ.</w:t>
      </w:r>
    </w:p>
    <w:p>
      <w:pPr>
        <w:pStyle w:val="Heading1"/>
      </w:pPr>
      <w:r>
        <w:rPr>
          <w:b/>
          <w:sz w:val="28"/>
        </w:rPr>
        <w:t xml:space="preserve">10. Открытые позиции</w:t>
      </w:r>
    </w:p>
    <w:p>
      <w:r>
        <w:rPr>
          <w:sz w:val="20"/>
        </w:rPr>
        <w:t xml:space="preserve">Ниже перечислено то, что на стадии Базового инжиниринга не может быть определено окончательно и требует данных Заказчика, результатов обследования либо технических предложений изготовителей. Каждая позиция закрывается до выдачи проекта производства работ и до размещения заказов на оборудование.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Массы и разбивка на монтажные блоки котла-утилизатора, печи, холодильников, воздуходувки — по конструкторской документации заводов (ведомость монтажных блоков дополняется итерацией после получения технических предложений)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Способ доставки силоса 100 м³ (цельный негабарит / полистовая сборка) — логистическая проработка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Грузоподъёмность и режим работы мостового крана — после фиксации массы барабана котла-утилизатора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Габариты и расположение монтажных проёмов в покрытии и перекрытиях — после получения разбивки на монтажные блоки от заводов-изготовителей печи, котла-утилизатора и электрофильтров.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Кривая сушки футеровки печи, скорость подъёма температуры и контрольные точки — по проекту футеровки поставщика печи.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Несущая способность внутриплощадочных проездов и маршруты перевозки тяжёлых и негабаритных грузов — согласуются с Заказчиком.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l1 mt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