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устанавливает порядок формирования стоимостной части Базового инжиниринга по Лоту №1 «Цех обжига»: состав и границы цены комплектной поставки, методическую базу и класс точности бюджетной оценки, базис цен и требования к содержанию технико-коммерческих предложений изготовителей, реестр закупочных позиций лота с перечнем кандидатов-изготовителей и статусом запросов, порядок сопоставления предложений и форму итоговой сводки стоимости поставки.</w:t>
      </w:r>
    </w:p>
    <w:p>
      <w:r>
        <w:rPr>
          <w:sz w:val="20"/>
        </w:rPr>
        <w:t xml:space="preserve">Документ выполняет требования состава Базового инжиниринга: «стоимость оборудования по данным технико-коммерческих предложений потенциальных поставщиков» и «оценка общей стоимости комплектной поставки технологического оборудования и материалов в границах проектирования» Технического задания на Базовый инжиниринг ред. 4.1.</w:t>
      </w:r>
    </w:p>
    <w:p>
      <w:r>
        <w:rPr>
          <w:sz w:val="20"/>
        </w:rPr>
        <w:t xml:space="preserve">Стоимостные значения в настоящем документе не приводятся. Ценовые графы форм разделов 5 и 6 заполняются после получения предложений изготовителей; до этого момента в графах проставляется отметка «по ТКП». Настоящая ревизия документа устанавливает порядок работ и состав форм и подлежит согласованию с Заказчиком в части перечня основного оборудования, выносимого на запрос предложений, и перечня адресатов запросов.</w:t>
      </w:r>
    </w:p>
    <w:p>
      <w:r>
        <w:rPr>
          <w:sz w:val="20"/>
        </w:rPr>
        <w:t xml:space="preserve">Стоимость поставки Лота №1 определяется группой крупных единичных аппаратов печного острова и газоочистки: печь кипящего слоя, котёл-утилизатор, сухие электрофильтры и дымососы. Эти позиции одновременно являются оборудованием длительного цикла изготовления, поэтому их бюджетные предложения собираются в первую очередь: они задают и стоимость, и сроки поставки лота.</w:t>
      </w:r>
    </w:p>
    <w:p>
      <w:r>
        <w:rPr>
          <w:color w:val="666666"/>
          <w:sz w:val="17"/>
        </w:rPr>
        <w:t xml:space="preserve">Источник: ТЗ на БИ ред. 4.1 — раздел «Стоимость поставки по Лоту №1» и границы проектирования п. 3.3; ИД ч.1 (табл. 23 и 24Б — референсные изготовители позиций перечня); Приложение №5 к ТЗ (комплектность запасных частей, приоритет производства Российской Федерации); AACE RP 18R-97 (класс точности оценки)</w:t>
      </w:r>
    </w:p>
    <w:p>
      <w:pPr>
        <w:pStyle w:val="Heading2"/>
      </w:pPr>
      <w:r>
        <w:rPr>
          <w:b/>
          <w:sz w:val="24"/>
        </w:rPr>
        <w:t xml:space="preserve">1.2 Состав цены комплектной поставки лота</w:t>
      </w:r>
    </w:p>
    <w:p>
      <w:r>
        <w:rPr>
          <w:sz w:val="20"/>
        </w:rPr>
        <w:t xml:space="preserve">В цену комплектной поставки лота включается:</w:t>
      </w:r>
    </w:p>
    <w:p>
      <w:r>
        <w:rPr>
          <w:sz w:val="20"/>
        </w:rPr>
        <w:t xml:space="preserve">Технологическое оборудование перечня лота; трубопроводы и газоходы с футеровкой; технологические металлоконструкции (бункерная этажерка, площадки обслуживания, опорные конструкции газоходов); тепловая изоляция; приборы контроля и автоматизации и автоматизированная система управления технологическим процессом с прикладным программным обеспечением; электрооборудование в согласованных границах; запасные части на период пусконаладочных работ и на два года эксплуатации; шеф-монтаж, пусконаладочные работы, обучение персонала и документация изготовителей.</w:t>
      </w:r>
    </w:p>
    <w:p>
      <w:r>
        <w:rPr>
          <w:sz w:val="20"/>
        </w:rPr>
        <w:t xml:space="preserve">В цену комплектной поставки лота не включается:</w:t>
      </w:r>
    </w:p>
    <w:p>
      <w:r>
        <w:rPr>
          <w:sz w:val="20"/>
        </w:rPr>
        <w:t xml:space="preserve">Строительная часть и строительно-монтажные работы; оборудование смежных переделов (сернокислотный и гидрометаллургический цехи) за границами пункта 3.3 Технического задания; внешние сети и источники энергоресурсов до точек подключения; электрооборудование за пределами согласованной границы поставки (положение границы по трансформаторным подстанциям — открытая позиция); проектные работы последующих стадий.</w:t>
      </w:r>
    </w:p>
    <w:p>
      <w:r>
        <w:rPr>
          <w:color w:val="555555"/>
          <w:sz w:val="18"/>
        </w:rPr>
        <w:t xml:space="preserve">Границы поставки соответствуют границам проектирования лота, установленным Техническим заданием; точки разграничения по материальным потокам и энергоресурсам приведены в пояснительной записке по лоту.</w:t>
      </w:r>
    </w:p>
    <w:p>
      <w:pPr>
        <w:pStyle w:val="Heading2"/>
      </w:pPr>
      <w:r>
        <w:rPr>
          <w:b/>
          <w:sz w:val="24"/>
        </w:rPr>
        <w:t xml:space="preserve">1.3 Методическая база и класс точности оценки</w:t>
      </w:r>
    </w:p>
    <w:p>
      <w:r>
        <w:rPr>
          <w:sz w:val="20"/>
        </w:rPr>
        <w:t xml:space="preserve">Бюджетная оценка стоимости комплектной поставки выполняется как оценка класса точности Class 3 по классификации AACE RP 18R-97, что соответствует стадии Базового инжиниринга и проработке проекта на уровне 10–40 %. Диапазон точности оценки этого класса — от минус 15–20 % до плюс 15–20 %. Класс точности оценки предлагается зафиксировать в договоре: он определяет допустимый объём исходных данных и ответственность сторон за отклонение фактической стоимости от оценочной.</w:t>
      </w:r>
    </w:p>
    <w:p>
      <w:r>
        <w:rPr>
          <w:sz w:val="20"/>
        </w:rPr>
        <w:t xml:space="preserve">Оценка этого класса опирается на перечень оборудования и бюджетные предложения по основному оборудованию; сбор предложений по всем позициям перечня относится к закупочной стадии проекта и точности оценки этого класса не повышает.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AACE RP 18R-97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Классификация оценок стоимости; класс точности Class 3 для стадии Базового инжиниринга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Техническое задание на Базовый инжиниринг ред. 4.1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Состав стоимостной части: бюджетные предложения по основному оборудованию и бюджетная оценка комплектной поставки в границах проектирования лота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Приложение №5 к Техническому заданию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Комплектность запасных частей систем управления и контроля на два года эксплуатации: не менее 10 % и не менее одной штуки каждого наименования; приоритет оборудования производства Российской Федерации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Методика определения сметной стоимости (приказ Министерства строительства и жилищно-коммунального хозяйства № 421/пр)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Применяется при переходе к сметной стоимости на последующих стадиях; на стадии Базового инжиниринга основанием служат коммерческие предложения изготовителей. Применимость подлежит уточнению с Заказчиком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Связанные документы выпуска</w:t>
      </w:r>
    </w:p>
    <w:p>
      <w:r>
        <w:rPr>
          <w:sz w:val="20"/>
        </w:rPr>
        <w:t xml:space="preserve">Исходные данные для стоимостной части выпускаются в составе других документов Базового инжиниринга по лоту; настоящий документ на них ссылается и их не дублирует.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ОВЭ75-БИ-Л1-ДЦ — Исходные требования на длинноцикловое оборудование</w:t>
      </w:r>
    </w:p>
    <w:p>
      <w:r>
        <w:rPr>
          <w:sz w:val="20"/>
        </w:rPr>
        <w:t xml:space="preserve">— ОВЭ75-БИ-Л1-МТ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ОВЭ75-БИ-Л1-ЭС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ОВЭ75-БИ-Л1-НГ — Планы строительных конструкций и фундаментов с предварительными нагрузками</w:t>
      </w:r>
    </w:p>
    <w:p>
      <w:r>
        <w:rPr>
          <w:sz w:val="20"/>
        </w:rPr>
        <w:t xml:space="preserve">— ОВЭ75-БИ-ОБ-ТКП — Реестр запросов бюджетных технико-коммерческих предложений (комплекты запросов по всем закупочным позициям проекта)</w:t>
      </w:r>
    </w:p>
    <w:p>
      <w:r>
        <w:rPr>
          <w:color w:val="555555"/>
          <w:sz w:val="18"/>
        </w:rPr>
        <w:t xml:space="preserve">Из общего реестра запросов проекта к настоящему лоту относятся 11 закупочных позиций; их перечень приведён в разделе 3.</w:t>
      </w:r>
    </w:p>
    <w:p>
      <w:pPr>
        <w:pStyle w:val="Heading1"/>
      </w:pPr>
      <w:r>
        <w:rPr>
          <w:b/>
          <w:sz w:val="28"/>
        </w:rPr>
        <w:t xml:space="preserve">2. Порядок формирования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2.1 Двухуровневая структура оценки</w:t>
      </w:r>
    </w:p>
    <w:p>
      <w:r>
        <w:rPr>
          <w:sz w:val="20"/>
        </w:rPr>
        <w:t xml:space="preserve">Оценка стоимости комплектной поставки формируется на двух уровнях. Первый уровень — бюджетные технико-коммерческие предложения изготовителей по основному оборудованию лота: перечень основного оборудования фиксируется протоколом с Заказчиком и охватывает ориентировочно 70–80 % стоимости поставки. Второй уровень — остальные позиции перечня, материалы и вспомогательное оборудование: они оцениваются по укрупнённым показателям и ценовой базе аналогичных поставок Исполнителя с приведением к дате уровня цен.</w:t>
      </w:r>
    </w:p>
    <w:p>
      <w:r>
        <w:rPr>
          <w:sz w:val="20"/>
        </w:rPr>
        <w:t xml:space="preserve">Редакцией 4.1 Технического задания требование о представлении не менее двух-трёх предложений на каждую позицию оборудования исключено; действует формулировка «бюджетные технико-коммерческие предложения по основному оборудованию». Целевое число сопоставимых предложений по каждой позиции основного перечня принято не менее трёх: три предложения дают представительный ценовой диапазон и позволяют отбраковать предложение, не отвечающее техническим требованиям. Если по позиции подтверждённых изготовителей меньше, составляется письменное обоснование с перечнем адресатов и полученных отказов.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3900"/>
        <w:gridCol w:w="30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Уровень оценки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Что охватывает</w:t>
            </w:r>
          </w:p>
        </w:tc>
        <w:tc>
          <w:tcPr>
            <w:tcW w:w="30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значения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Бюджетные предложения изготовителей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Основное оборудование лота по согласованному перечню — ориентировочно 70–80 % стоимости поставки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Технико-коммерческое предложение изготовителя по опросному листу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Прочее оборудование перечня, материалы (трубопроводы, металлоконструкции, изоляция), полевые приборы, вспомогательные системы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Ценовая база аналогичных поставок Исполнителя, приведённая к дате уровня цен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Расчётные статьи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Логистика и упаковка, таможенные платежи по импортным позициям, шеф-монтаж и пусконаладочные работы, обучение персонала, документация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Данные предложений и расчёт по массам и объёмам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Базис цен, валюта и срок действия предложений</w:t>
      </w:r>
    </w:p>
    <w:p>
      <w:r>
        <w:rPr>
          <w:sz w:val="20"/>
        </w:rPr>
        <w:t xml:space="preserve">Предложения запрашиваются на единых коммерческих условиях; без приведения к единому базису предложения разных изготовителей несопоставимы.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запроса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Базис поставки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Цена указывается раздельно на условиях EXW (склад изготовителя) и DDP Мончегорск, Российская Федерация (Инкотермс 2020). Разность двух величин даёт стоимость доставки, таможенного оформления и страхования и используется как расчётная статья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Валюта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Валюта указывается изготовителем; в сводку значения приводятся к единой валюте по курсу на дату уровня цен. По валютным позициям в сводке сохраняется исходная валюта и курс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Указывается изготовителем; при выходе срока за дату сведения оценки значение актуализируется письмом изготовителя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Налоги и таможенные платежи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Цены приводятся без налога на добавленную стоимость; таможенные платежи по импортным позициям учитываются отдельной строкой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Дата уровня цен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Единая для всей сводки; указывается в заголовке итоговой сводки вместе с курсами валют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Условия платежей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График платежей и условия авансирования относятся к коммерческому блоку Заказчика и в бюджетную оценку не входят; в предложении запрашиваются справочно для оценки сроков поставки</w:t>
            </w:r>
          </w:p>
        </w:tc>
      </w:tr>
    </w:tbl>
    <w:p>
      <w:r>
        <w:rPr>
          <w:color w:val="555555"/>
          <w:sz w:val="18"/>
        </w:rPr>
        <w:t xml:space="preserve">По импортным позициям лота (шнековые холодильники, автоцистерны-цементовозы) в сводке предусматриваются курсовая оговорка и отдельная строка таможенных платежей; приоритет при равных технических характеристиках отдаётся оборудованию производства Российской Федерации в соответствии с Приложением №5 к Техническому заданию.</w:t>
      </w:r>
    </w:p>
    <w:p>
      <w:pPr>
        <w:pStyle w:val="Heading2"/>
      </w:pPr>
      <w:r>
        <w:rPr>
          <w:b/>
          <w:sz w:val="24"/>
        </w:rPr>
        <w:t xml:space="preserve">2.3 Резерв на неопределённость стадии</w:t>
      </w:r>
    </w:p>
    <w:p>
      <w:r>
        <w:rPr>
          <w:sz w:val="20"/>
        </w:rPr>
        <w:t xml:space="preserve">Резерв на неопределённость стадии учитывает объём сведений, недоступных на Базовом инжиниринге, и включается в сводку отдельной строкой; в цены предложений изготовителей он не входит. Величина резерва определяется по перечню источников неопределённости и согласовывается с Заказчиком. Ориентировочный уровень резерва принимается в пределах диапазона точности принятого класса оценки и уточняется по мере закрытия позиций перечня предложениями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4100"/>
        <w:gridCol w:w="25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неопределённости</w:t>
            </w:r>
          </w:p>
        </w:tc>
        <w:tc>
          <w:tcPr>
            <w:tcW w:w="41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учёта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Позиции без предложений изготовителей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Часть перечня оценивается по укрупнённым показателям и ценовой базе аналогов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Неполнота данных изготовителя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Массы, габариты и энергопотребление до получения предложений не заданы: влияют на стоимость логистики, монтажа и электрической части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статьям логистики и монтажа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Курсовые колебания и таможенные платежи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 импортным позициям цена зависит от валюты предложения, курса на дату сведения оценки и таможенных платежей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Курсовая оговорка и отдельная строка сводки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Уточнение границ поставки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Положение границ по электрической части и разнесение стоимости систем управления между лотами уточняются протоколом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 до согласования границ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Предложения имеют ограниченный срок действия; при выходе за него значения актуализируются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Указание даты уровня цен в сводке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Реестр закупочных позиций лота</w:t>
      </w:r>
    </w:p>
    <w:p>
      <w:pPr>
        <w:pStyle w:val="Heading2"/>
      </w:pPr>
      <w:r>
        <w:rPr>
          <w:b/>
          <w:sz w:val="24"/>
        </w:rPr>
        <w:t xml:space="preserve">3.1 Классы закупочных позиций</w:t>
      </w:r>
    </w:p>
    <w:p>
      <w:r>
        <w:rPr>
          <w:sz w:val="20"/>
        </w:rPr>
        <w:t xml:space="preserve">Каждой закупочной позиции присвоен класс, отражающий состояние рынка изготовителей по заданным техническим параметрам. Класс определяет трудоёмкость сбора предложений и порядок действий при недостатке кандидатов.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900"/>
        <w:gridCol w:w="8454"/>
      </w:tblGrid>
      <w:tr>
        <w:trPr>
          <w:tblHeader/>
          <w:cantSplit/>
        </w:trPr>
        <w:tc>
          <w:tcPr>
            <w:tcW w:w="90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8454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позиции и порядок сбора предложений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A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закрывается серийным оборудованием, рынок широкий: сбор трёх и более сопоставимых предложений выполняется в штатном порядке.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B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Рынок узкий, число подтверждённых изготовителей ограничено: перечень адресатов требует отдельной проработки, часть кандидатов подтверждается только по запросу.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C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дефицитная: изготовители, подтверждённые по заданным параметрам, единичны; перечень адресатов расширяется целевым поиском, при недостатке предложений составляется письменное обоснование.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Реестр позиций</w:t>
      </w:r>
    </w:p>
    <w:p>
      <w:r>
        <w:rPr>
          <w:sz w:val="20"/>
        </w:rPr>
        <w:t xml:space="preserve">В реестр включены закупочные позиции Лота №1, выносимые на бюджетные технико-коммерческие предложения, а также позиции систем управления и приборов контроля, общие для всех лотов комплекса. Число кандидатов приведено по справочнику изготовителей проекта: учтены компании с подтверждённым профилем производства, проверенным по официальным источникам изготовителя.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50"/>
        <w:gridCol w:w="560"/>
        <w:gridCol w:w="1250"/>
        <w:gridCol w:w="1400"/>
        <w:gridCol w:w="2240"/>
        <w:gridCol w:w="1554"/>
      </w:tblGrid>
      <w:tr>
        <w:trPr>
          <w:tblHeader/>
          <w:cantSplit/>
        </w:trPr>
        <w:tc>
          <w:tcPr>
            <w:tcW w:w="235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Кандидатов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География кандидатов</w:t>
            </w:r>
          </w:p>
        </w:tc>
        <w:tc>
          <w:tcPr>
            <w:tcW w:w="224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запроса предложений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Целевое число предложений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Печь кипящего слоя 10–16 т/ч, кислородное дутьё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C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6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01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Котёл-утилизатор до 30 000 нм³/ч, пар 1,9 МПа / 375 °С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3; Индия — 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02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Сухой электрофильтр до 57 600 м³/ч, 2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3; Индия — 4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03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Одиночный циклон до 32 000 м³/ч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2; Индия — 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04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Дымососы до 78 000 м³/ч, 400 кВт / 6 кВ, 2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6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05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Рукавные фильтры аспирации с дымососами на свечу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3; Индия — 3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Барабанные вакуум-фильтры пульпы медного концентрата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6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Оборудование шихтоподготовки: питатели, весовые дозаторы, смеситель, ленточные конвейеры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08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Мазутные горелки ГМ-4,5 и МГМГ-10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2; Россия — 2; Индия — 1; Турция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09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12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Шнековые холодильники огарка и пылей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Силосы огарка и тонкой пыли с узлом налива автотранспорта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Станция растаривания мягких контейнеров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</w:tbl>
    <w:p>
      <w:r>
        <w:rPr>
          <w:color w:val="555555"/>
          <w:sz w:val="18"/>
        </w:rPr>
        <w:t xml:space="preserve">По части позиций справочник не называет отдельных российских изготовителей и отсылает к отраслевому типоразмерному ряду либо к утверждённому перечню Приложения №5 к Техническому заданию, а по подъёмно-транспортному оборудованию — к модернизации оборудования Заказчика: сухой электрофильтр до 57 600 м³/ч, 2 шт; одиночный циклон до 32 000 м³/ч; дымососы до 78 000 м³/ч, 400 кВт / 6 кВ, 2 шт; рукавные фильтры аспирации с дымососами на свечу; оборудование шихтоподготовки: питатели, весовые дозаторы, смеситель, ленточные конвейеры; мазутные горелки ГМ-4,5 и МГМГ-10. По этим позициям перечень российских изготовителей уточняется при согласовании адресатов запроса.</w:t>
      </w:r>
    </w:p>
    <w:p>
      <w:r>
        <w:rPr>
          <w:color w:val="555555"/>
          <w:sz w:val="18"/>
        </w:rPr>
        <w:t xml:space="preserve">Графа «Целевое число предложений» задаёт число сопоставимых предложений, принимаемых к оценке по позиции. Предложения, не отвечающие правилам раздела 4.4, в это число не засчитываются.</w:t>
      </w:r>
    </w:p>
    <w:p>
      <w:pPr>
        <w:pStyle w:val="Heading2"/>
      </w:pPr>
      <w:r>
        <w:rPr>
          <w:b/>
          <w:sz w:val="24"/>
        </w:rPr>
        <w:t xml:space="preserve">3.3 Позиции, по которым перечень адресатов формируется</w:t>
      </w:r>
    </w:p>
    <w:p>
      <w:r>
        <w:rPr>
          <w:sz w:val="20"/>
        </w:rPr>
        <w:t xml:space="preserve">По перечисленным ниже позициям справочник изготовителей на момент выпуска настоящей ревизии не сформирован: перечень адресатов запроса составляется после выпуска опросных листов, определяющих исполнение и комплектность позиции.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работы с позицией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Шнековые холодильники огарка и пылей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Позиция закрывается изготовителями транспортно-технологического оборудования; 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Силосы огарка и тонкой пыли с узлом налива автотранспорта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Перечень адресатов формируется по опросному листу; изготовители силосного оборудования и автоцистерн-цементовозов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Станция растаривания мягких контейнеров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Перечень адресатов формируется по опросному листу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Предмет подтверждения в предложении</w:t>
      </w:r>
    </w:p>
    <w:p>
      <w:r>
        <w:rPr>
          <w:sz w:val="20"/>
        </w:rPr>
        <w:t xml:space="preserve">По каждой позиции в запросе задан предмет обязательного подтверждения — техническое обстоятельство, определяющее сопоставимость предложений и пригодность оборудования для заданных условий. Предложение без подтверждения по этой графе к оценке не принимается.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Предмет подтверждения в предложении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Печь кипящего слоя 10–16 т/ч, кислородное дутьё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Подтверждённый опыт сульфатизирующего обжига медного сырья в кипящем слое (не окислительного обжига цинковых концентратов); подтверждение работы на дутье с содержанием кислорода 96 %.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Котёл-утилизатор до 30 000 нм³/ч, пар 1,9 МПа / 375 °С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Опыт поставки котлов-утилизаторов за печью кипящего слоя цветной металлургии с пылевым режимом работы; наличие проектных проработок под заданные параметры.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Сухой электрофильтр до 57 600 м³/ч, 2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Гарантируемая остаточная запылённость на выходе; исполнение под сернистые газы с учётом температуры точки росы.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Одиночный циклон до 32 000 м³/ч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Подтверждение типоразмера и коэффициента полезного действия по фракционному составу пыли обжига.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Дымососы до 78 000 м³/ч, 400 кВт / 6 кВ, 2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Комплектация электроприводом 6 кВ и системой регулирования производительности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Рукавные фильтры аспирации с дымососами на свечу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Гарантируемый качественный состав и количество выбросов на свечу — требование Технического задания.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Барабанные вакуум-фильтры пульпы медного концентрата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Гарантия влажности кека 10 % при крупности концентрата 25,5 мкм и содержании твёрдого в питании 70 %.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Оборудование шихтоподготовки: питатели, весовые дозаторы, смеситель, ленточные конвейеры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Исполнение из нержавеющей стали на линиях цементной меди и шихты, её содержащей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Мазутные горелки ГМ-4,5 и МГМГ-10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Коэффициент рабочего регулирования тепловой мощности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Соответствие утверждённому перечню Приложения №5 к Техническому заданию; для значимых объектов критической информационной инфраструктуры — наличие записи в реестре Министерства промышленности и торговли на дату экспертизы.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Перечни по видам измерений — по Приложению №5 к Техническому заданию; средства измерений из Государственного реестра, поставка с первичной поверкой.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3.5 Кандидаты-изготовители</w:t>
      </w:r>
    </w:p>
    <w:p>
      <w:r>
        <w:rPr>
          <w:sz w:val="20"/>
        </w:rPr>
        <w:t xml:space="preserve">Перечень кандидатов сформирован по справочнику изготовителей проекта и служит основой перечня адресатов запросов. Перечень открыт: он дополняется по предложению Заказчика и по результатам целевого поиска по позициям классов B и C. Окончательный состав адресатов согласовывается с Заказчиком до рассылки.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150"/>
        <w:gridCol w:w="59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Страна</w:t>
            </w:r>
          </w:p>
        </w:tc>
        <w:tc>
          <w:tcPr>
            <w:tcW w:w="5904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Кандидаты-изготовители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Печь кипящего слоя 10–16 т/ч, кислородное дутьё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China Nerin Engineering Co., Ltd.; China ENFI Engineering Corp.; NFC (China Nonferrous Metal Industry's Foreign Engineering and Construction); Kunming Engineering &amp; Research Institute of Nonferrous Metallurgy (KMY); BGRIMM Technology Group; CINF Engineering (Changsha Nonferrous Metallurgy Design &amp; Research Institute)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Котёл-утилизатор до 30 000 нм³/ч, пар 1,9 МПа / 375 °С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Hangzhou Boiler Group (с 2022 — Xizi Clean Energy); Suzhou Hailu Heavy Industry Co., Ltd.; Wuxi Huaguang Environment &amp; Energy Group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Thermax Limited; Isgec Heavy Engineering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Сухой электрофильтр до 57 600 м³/ч, 2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Fujian Longking Co., Ltd.; Zhejiang Feida Environmental Science &amp; Technology; Tengy Environmental Technology (Zhejiang Tianjie)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Thermax; Enviropol Engineers Pvt. Ltd.; Isgec Heavy Engineering Ltd.; Bharat Heavy Electricals Limited (BHEL)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Одиночный циклон до 32 000 м³/ч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Fujian Longking Co., Ltd.; Sinosteel Tiancheng Environmental Protection Science &amp; Technology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Rieco Industries Ltd.; Techflow Enterprises Pvt.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Дымососы до 78 000 м³/ч, 400 кВт / 6 кВ, 2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Chongqing General Industry (Group) Co., Ltd.; Shenyang Blower Works Group / SBW (Shengu Group); Xinxiang SIMO Blower Co., Ltd.; Xi'an Shaangu Power Co., Ltd.; Zhejiang Shangfeng Special Blower Industrial Co., Ltd.; Zibo Hongcheng Fan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Рукавные фильтры аспирации с дымососами на свечу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Fujian Longking Co., Ltd.; Zhejiang Feida Environmental Science &amp; Technology; Tengy Environmental Technology (Zhejiang Tianjie)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Rieco Industries Ltd.; Techflow Enterprises Pvt. Ltd.; Enviropol Engineers Pvt.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Барабанные вакуум-фильтры пульпы медного концентрата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Yantai Jinpeng Mining Machinery Co., Ltd.; Nuclear Industry Yantai Toncin Group Co., Ltd.; Xinxiang Yinuo Machineries Co., Ltd.; Yantai Hexin Environmental Protection Equipment Co., Ltd.; Jiangxi Shicheng Mine Machinery Factory (JXSC); Shandong Xinhai Mining Technology &amp; Equipment Inc.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Оборудование шихтоподготовки: питатели, весовые дозаторы, смеситель, ленточные конвейеры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Henan Pingyuan Mining Machinery (PK Machinery); Henan Zhengzhou Mining Machinery (ZK Corp); Shanghai Ku Qiao Equipment Co., Ltd. (SKE); Henan Excellent Machinery Co., Ltd. (EXCT); Northern Heavy Industries Group Co., Ltd. (NHI)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Мазутные горелки ГМ-4,5 и МГМГ-10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Zhengzhou Bona Thermal Energy Equipment Co., Ltd. (BNTET); EBICO (China) Environment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Бийский котельный завод (БиКЗ); Бийский Котельный Завод «Генерация»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The Wesman Engineering Co. Pvt.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Турция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Termo Isı Sistemleri A.Ş. (Ecostar)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ООО «Прософт-Системы» (ARIS); АО НИЦ «Инкомсистем» (АБАК К2/К3); АО «Атомик Софт» (Alpha.Platform); АО «ЭлеСи» (Integrity SCADA); ООО НПП «ЭКРА» (EKRA A01/A02)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ЗАО «ЭМИС»; ООО НПП «ЭЛЕМЕР»; АО «Промышленная группа «Метран»;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</w:t>
            </w:r>
          </w:p>
        </w:tc>
      </w:tr>
    </w:tbl>
    <w:p>
      <w:r>
        <w:rPr>
          <w:color w:val="555555"/>
          <w:sz w:val="18"/>
        </w:rPr>
        <w:t xml:space="preserve">Справочник кандидатов ограничен изготовителями со штаб-квартирами в государствах, не вводивших ограничительные меры в отношении Российской Федерации, и российскими изготовителями. По каждой позиции перечень адресатов формируется так, чтобы в него входил не менее чем один российский и не менее чем один зарубежный изготовитель.</w:t>
      </w:r>
    </w:p>
    <w:p>
      <w:pPr>
        <w:pStyle w:val="Heading2"/>
      </w:pPr>
      <w:r>
        <w:rPr>
          <w:b/>
          <w:sz w:val="24"/>
        </w:rPr>
        <w:t xml:space="preserve">3.6 Позиции, оцениваемые по укрупнённым показателям</w:t>
      </w:r>
    </w:p>
    <w:p>
      <w:r>
        <w:rPr>
          <w:sz w:val="20"/>
        </w:rPr>
        <w:t xml:space="preserve">Перечисленные позиции на запрос предложений не выносятся: их стоимость определяется по укрупнённым показателям и ценовой базе аналогичных поставок с приведением к дате уровня цен. Объёмы по этим позициям уточняются по мере выпуска компоновочных решений, перечня трубопроводов и арматуры и решений по электрической части.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позиций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Трубопроводы и газоходы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Газоходы тракта с футеровкой и тепловой изоляцией, технологические трубопроводы в границах лота, арматура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Металлоконструкции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Бункерная этажерка, площадки обслуживания, опорные конструкции газоходов и оборудования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Футеровка и тепловая изоляция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Огнеупорная футеровка печи и газоходов, тепловая изоляция горячих поверхностей и паропроводов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Полевые приборы и арматура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Приборы контроля вне комплектных поставок, регулирующая и запорная арматура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Электрооборудование в границах поставки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Кабельная продукция, шкафы и щиты в согласованных границах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Запрос предложений: состав и требования</w:t>
      </w:r>
    </w:p>
    <w:p>
      <w:pPr>
        <w:pStyle w:val="Heading2"/>
      </w:pPr>
      <w:r>
        <w:rPr>
          <w:b/>
          <w:sz w:val="24"/>
        </w:rPr>
        <w:t xml:space="preserve">4.1 Состав запроса</w:t>
      </w:r>
    </w:p>
    <w:p>
      <w:r>
        <w:rPr>
          <w:sz w:val="20"/>
        </w:rPr>
        <w:t xml:space="preserve">Запрос по каждой позиции представляет собой комплект из двух частей: письмо-запрос бюджетного технико-коммерческого предложения с изложением предмета, условий и срока ответа и приложение с техническими требованиями по позиции. Техническое приложение составлено по перечню оборудования лота и содержит назначение, основные параметры, количество, материальное исполнение, известные габариты и энергопотребление. Для зарубежных адресатов письмо дополнено переводом на английский язык.</w:t>
      </w:r>
    </w:p>
    <w:p>
      <w:r>
        <w:rPr>
          <w:sz w:val="20"/>
        </w:rPr>
        <w:t xml:space="preserve">Запрос имеет бюджетный характер и относится к стадии Базового инжиниринга: он не является офертой и не создаёт обязательств сторон. Уточнённые опросные листы направляются изготовителям на последующей стадии проекта. Материалы запроса предоставляются адресату как конфиденциальные и не подлежат раскрытию третьим лицам.</w:t>
      </w:r>
    </w:p>
    <w:p>
      <w:pPr>
        <w:pStyle w:val="Heading2"/>
      </w:pPr>
      <w:r>
        <w:rPr>
          <w:b/>
          <w:sz w:val="24"/>
        </w:rPr>
        <w:t xml:space="preserve">4.2 Пакетирование запросов и технологические гарантии</w:t>
      </w:r>
    </w:p>
    <w:p>
      <w:r>
        <w:rPr>
          <w:sz w:val="20"/>
        </w:rPr>
        <w:t xml:space="preserve">Кандидаты по позиции печи кипящего слоя — проектно-инжиниринговые организации цветной металлургии, поставляющие печной комплекс комплектно. Запрос по этой позиции формируется как запрос на комплектную поставку печного острова (печь с подиной, порогами выгрузки и забрасывателем, воздуходувка дутья, топка-смеситель) с гарантиями по производительности и режиму кислородного дутья. Позиции газоочистки запрашиваются раздельно: рынок по ним широкий, раздельный запрос даёт сопоставимые предложения и сохраняет конкуренцию. Референсные изготовители, названные в исходных данных, включаются в перечень адресатов наряду с альтернативными российскими поставщиками по каждой группе.</w:t>
      </w:r>
    </w:p>
    <w:p>
      <w:r>
        <w:rPr>
          <w:sz w:val="20"/>
        </w:rPr>
        <w:t xml:space="preserve">В запрос и опросные листы включаются технологические гарантии, определяющие пригодность оборудования и сопоставимость предложений: производительность печи кипящего слоя 10–16 т/ч по шихте при кислородном дутье; паропроизводительность котла-утилизатора при расходе газов до 30 000 нм³/ч и параметрах пара 1,9 МПа и 375 °С; гарантируемая остаточная запылённость газов после электрофильтра; качественный состав и количество выбросов на свечу аспирации; влажность кека вакуум-фильтров 10 % при крупности концентрата 25,5 мкм. Предложение, не содержащее подтверждения этих показателей, к оценке не принимается.</w:t>
      </w:r>
    </w:p>
    <w:p>
      <w:pPr>
        <w:pStyle w:val="Heading2"/>
      </w:pPr>
      <w:r>
        <w:rPr>
          <w:b/>
          <w:sz w:val="24"/>
        </w:rPr>
        <w:t xml:space="preserve">4.3 Требования к содержанию предложения</w:t>
      </w:r>
    </w:p>
    <w:p>
      <w:r>
        <w:rPr>
          <w:sz w:val="20"/>
        </w:rPr>
        <w:t xml:space="preserve">В составе предложения запрашиваются:</w:t>
      </w:r>
    </w:p>
    <w:p>
      <w:r>
        <w:rPr>
          <w:sz w:val="20"/>
        </w:rPr>
        <w:t xml:space="preserve">1) бюджетная цена — раздельно на условиях EXW (склад изготовителя) и DDP Мончегорск (Инкотермс 2020), с указанием валюты и срока действия предложения;</w:t>
      </w:r>
    </w:p>
    <w:p>
      <w:r>
        <w:rPr>
          <w:sz w:val="20"/>
        </w:rPr>
        <w:t xml:space="preserve">2) срок изготовления и ориентировочный срок поставки в неделях от даты заказа или авансового платежа;</w:t>
      </w:r>
    </w:p>
    <w:p>
      <w:r>
        <w:rPr>
          <w:sz w:val="20"/>
        </w:rPr>
        <w:t xml:space="preserve">3) габариты и масса единицы оборудования и наибольших поставочных блоков — для проработки логистики и требований к монтажу;</w:t>
      </w:r>
    </w:p>
    <w:p>
      <w:r>
        <w:rPr>
          <w:sz w:val="20"/>
        </w:rPr>
        <w:t xml:space="preserve">4) перечень аналогичных поставок: продукт, рабочая среда и параметры, год поставки, страна;</w:t>
      </w:r>
    </w:p>
    <w:p>
      <w:r>
        <w:rPr>
          <w:sz w:val="20"/>
        </w:rPr>
        <w:t xml:space="preserve">5) материал частей, контактирующих с рабочей средой, и комплектность поставки — приборы контроля, запасные части, документация;</w:t>
      </w:r>
    </w:p>
    <w:p>
      <w:r>
        <w:rPr>
          <w:sz w:val="20"/>
        </w:rPr>
        <w:t xml:space="preserve">6) потребность в энергоресурсах и требования к монтажу.</w:t>
      </w:r>
    </w:p>
    <w:p>
      <w:r>
        <w:rPr>
          <w:sz w:val="20"/>
        </w:rPr>
        <w:t xml:space="preserve">Срок представления предложения — 3 недели с даты получения запроса. Получение запроса подтверждается адресатом; отсутствие ответа в установленный срок фиксируется в реестре запросов и учитывается при обосновании числа собранных предложений.</w:t>
      </w:r>
    </w:p>
    <w:p>
      <w:pPr>
        <w:pStyle w:val="Heading2"/>
      </w:pPr>
      <w:r>
        <w:rPr>
          <w:b/>
          <w:sz w:val="24"/>
        </w:rPr>
        <w:t xml:space="preserve">4.4 Правила приёма предложения к оценке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Правило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Полнота опросного листа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Опросный лист заполняется по каждой позиции и содержит рабочую среду, температуру, давление, материал частей, контактирующих со средой, производительность, габариты, массу, энергопотребление, срок изготовления и условия поставки.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Материальное исполнение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Предложение без указания материала частей, контактирующих с рабочей средой, к оценке не принимается: по позициям гидрометаллургии стоимость исполнения из стали 316L и из сплавов 904L либо Hastelloy G-35 различается кратно.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Подтверждение опыта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Опыт подтверждается по продукту и рабочей среде, а не по классу оборудования: поставка аппарата того же типа на иную среду и иные параметры подтверждением не является.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Состав перечня адресатов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По каждой позиции в перечень адресатов включается не менее одного российского и не менее одного зарубежного изготовителя.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Сроки и логистика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Срок изготовления и условия поставки фиксируются в предложении письменно: они входят в исходные требования на оборудование длительного цикла изготовления и в график поставки.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 Статус запросов</w:t>
      </w:r>
    </w:p>
    <w:p>
      <w:r>
        <w:rPr>
          <w:sz w:val="20"/>
        </w:rPr>
        <w:t xml:space="preserve">Комплекты запросов подготовлены по 11 позициям реестра раздела 3, включая позиции систем управления и приборов контроля, общие для всех лотов комплекса. Комплекты сведены в документе выпуска ОВЭ75-БИ-ОБ-ТКП «Реестр запросов бюджетных технико-коммерческих предложений».</w:t>
      </w:r>
    </w:p>
    <w:p>
      <w:r>
        <w:rPr>
          <w:sz w:val="20"/>
        </w:rPr>
        <w:t xml:space="preserve">Рассылка запросов выполняется после решения Заказчика: до рассылки согласовываются перечень основного оборудования, выносимого на бюджетные предложения, и перечень адресатов по каждой позиции. Такой порядок исключает обращение к изготовителям от имени проекта до согласования состава закупочных позиций и позволяет учесть действующие рамочные отношения Заказчика с изготовителями.</w:t>
      </w:r>
    </w:p>
    <w:p>
      <w:r>
        <w:rPr>
          <w:sz w:val="20"/>
        </w:rPr>
        <w:t xml:space="preserve">По позициям раздела 3.3 комплекты запросов формируются после выпуска опросных листов; их рассылка выполняется в том же порядке.</w:t>
      </w:r>
    </w:p>
    <w:p>
      <w:pPr>
        <w:pStyle w:val="Heading1"/>
      </w:pPr>
      <w:r>
        <w:rPr>
          <w:b/>
          <w:sz w:val="28"/>
        </w:rPr>
        <w:t xml:space="preserve">5. Сопоставление предложений</w:t>
      </w:r>
    </w:p>
    <w:p>
      <w:pPr>
        <w:pStyle w:val="Heading2"/>
      </w:pPr>
      <w:r>
        <w:rPr>
          <w:b/>
          <w:sz w:val="24"/>
        </w:rPr>
        <w:t xml:space="preserve">5.1 Приведение к единому базису</w:t>
      </w:r>
    </w:p>
    <w:p>
      <w:r>
        <w:rPr>
          <w:sz w:val="20"/>
        </w:rPr>
        <w:t xml:space="preserve">Полученные предложения приводятся к единому базису до сопоставления. Приведению подлежат: базис поставки (значения EXW и DDP разделяются, для сопоставления принимается DDP Мончегорск), валюта и курс на дату уровня цен, комплектность поставки (приборы контроля, запасные части, документация, шеф-монтаж и пусконаладочные работы), объём поставки по опросному листу и объём заводских испытаний. Разница в комплектности устраняется дозапросом недостающих позиций, а не пересчётом цены.</w:t>
      </w:r>
    </w:p>
    <w:p>
      <w:r>
        <w:rPr>
          <w:sz w:val="20"/>
        </w:rPr>
        <w:t xml:space="preserve">Предложения, отличающиеся материальным исполнением частей, контактирующих с рабочей средой, к сопоставлению не принимаются: они относятся к разным техническим решениям и сравниваются только после приведения исполнения к требованиям опросного листа.</w:t>
      </w:r>
    </w:p>
    <w:p>
      <w:pPr>
        <w:pStyle w:val="Heading2"/>
      </w:pPr>
      <w:r>
        <w:rPr>
          <w:b/>
          <w:sz w:val="24"/>
        </w:rPr>
        <w:t xml:space="preserve">5.2 Форма сопоставления предложений по позиции</w:t>
      </w:r>
    </w:p>
    <w:p>
      <w:r>
        <w:rPr>
          <w:sz w:val="20"/>
        </w:rPr>
        <w:t xml:space="preserve">Форма заполняется по каждой закупочной позиции реестра раздела 3. Число граф предложений соответствует числу принятых к оценке предложений, но не менее трёх.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2218"/>
        <w:gridCol w:w="2218"/>
        <w:gridCol w:w="2218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1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2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3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Изготовитель, страна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Соответствие требованиям опросного листа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Материал частей, контактирующих с рабочей средой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Гарантируемые показатели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Комплектность поставки (приборы, запасные части, документация)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EXW,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DDP Мончегорск,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изготовления, недель от даты заказа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Масса и габариты наибольшего поставочного блока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Шеф-монтаж и пусконаладочные работы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Подтверждение опыта по продукту и среде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Принято к сопоставлению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Принятие значения в оценку</w:t>
      </w:r>
    </w:p>
    <w:p>
      <w:r>
        <w:rPr>
          <w:sz w:val="20"/>
        </w:rPr>
        <w:t xml:space="preserve">В бюджетную оценку по позиции принимается значение из предложения, отвечающего техническим требованиям опросного листа и подтверждённого опытом поставки по продукту и рабочей среде. В сводке по позиции указываются: принятое значение, диапазон полученных значений, число сопоставимых предложений и изготовитель, предложение которого принято. Если сопоставимых предложений меньше трёх, к сводке прилагается обоснование с перечнем адресатов и полученных отказов, а по позиции назначается повышенный резерв в соответствии с разделом 2.3.</w:t>
      </w:r>
    </w:p>
    <w:p>
      <w:r>
        <w:rPr>
          <w:color w:val="555555"/>
          <w:sz w:val="18"/>
        </w:rPr>
        <w:t xml:space="preserve">Принятое в бюджетную оценку значение не является результатом выбора поставщика: выбор изготовителя выполняется Заказчиком на закупочной стадии по итогам конкурентных процедур с уточнёнными опросными листами.</w:t>
      </w:r>
    </w:p>
    <w:p>
      <w:pPr>
        <w:pStyle w:val="Heading1"/>
      </w:pPr>
      <w:r>
        <w:rPr>
          <w:b/>
          <w:sz w:val="28"/>
        </w:rPr>
        <w:t xml:space="preserve">6. Форма итоговой сводки стоимости поставки</w:t>
      </w:r>
    </w:p>
    <w:p>
      <w:pPr>
        <w:pStyle w:val="Heading2"/>
      </w:pPr>
      <w:r>
        <w:rPr>
          <w:b/>
          <w:sz w:val="24"/>
        </w:rPr>
        <w:t xml:space="preserve">6.1 Структура сводки</w:t>
      </w:r>
    </w:p>
    <w:p>
      <w:r>
        <w:rPr>
          <w:sz w:val="20"/>
        </w:rPr>
        <w:t xml:space="preserve">Сводка стоимости комплектной поставки лота строится по группам оборудования, материалов и услуг. Для каждой группы указано основание оценки: бюджетные предложения изготовителей либо укрупнённые показатели. Ценовые графы в настоящей ревизии не заполняются.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4054"/>
        <w:gridCol w:w="1800"/>
        <w:gridCol w:w="1300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Группа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поставки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оценки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Шихтоподготовка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Питатели, весовые дозаторы, смеситель, ленточные конвейеры, бункеры и течки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Фильтрация концентрата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Барабанные вакуум-фильтры с вакуум-станцией, ёмкость приёма фильтрата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Печной комплекс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Печь кипящего слоя с подиной, порогами и забрасывателем, воздуходувка дутья, топка-смеситель и горелки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Газоочистка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Котёл-утилизатор, одиночный циклон, сухие электрофильтры с агрегатами питания, дымососы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Охлаждение и отгрузка продуктов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Шнековые холодильники, силосы огарка и пыли, узел налива автотранспорта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Аспирация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Рукавные фильтры, дымососы на свечу, укрытия и воздуховоды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Контроль и автоматизация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Приборы контроля, комплекс технических средств системы управления, прикладное программное обеспечение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Электрооборудование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Электроприводы, шкафы и щиты в согласованных границах поставки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укрупнённым показателям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Материалы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Газоходы с футеровкой, трубопроводы, технологические металлоконструкции, футеровка, тепловая изоляция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укрупнённым показателям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документация, в том числе цифровая информационная модель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Предложения и 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Запасные части на период пусконаладочных работ и на два года эксплуатации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Итоговые строки сводки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Строка сводки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определения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оборудование по бюджетным предложениям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принятых значений по позициям формы раздела 6.3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позиции по укрупнённым показателям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по ценовой базе аналогичных поставок с приведением к дате уровня цен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материалы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Трубопроводы, металлоконструкции, изоляция и прочие материалы в границах поставки — по объёмам компоновочных решений и перечня трубопроводов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Логистика, упаковка и таможенные платежи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Разность значений DDP и EXW по позициям с предложениями; по остальным — расчёт по массам и объёмам поставки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 — по данным предложений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комплектности предложений и требованию Приложения №5 к Техническому заданию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Стоимость комплектной поставки лота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Резерв на неопределённость стадии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перечню источников неопределённости раздела 2.3; согласовывается с Заказчиком; в цены предложений не входит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с резервом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двух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Дата уровня цен, валюта сведения и курсы пересчёта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Указываются в заголовке сводки; едины для всех строк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 Сводка по закупочным позициям</w:t>
      </w:r>
    </w:p>
    <w:p>
      <w:r>
        <w:rPr>
          <w:sz w:val="20"/>
        </w:rPr>
        <w:t xml:space="preserve">Форма заполняется после получения предложений и служит основанием строки «Итого оборудование по бюджетным предложениям» сводки раздела 6.1.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400"/>
        <w:gridCol w:w="2100"/>
        <w:gridCol w:w="26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Получено предложений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 стоимости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Базис, валюта, дата уровня цен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Печь кипящего слоя 10–16 т/ч, кислородное дутьё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Котёл-утилизатор до 30 000 нм³/ч, пар 1,9 МПа / 375 °С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Сухой электрофильтр до 57 600 м³/ч, 2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Одиночный циклон до 32 000 м³/ч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Дымососы до 78 000 м³/ч, 400 кВт / 6 кВ, 2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Рукавные фильтры аспирации с дымососами на свечу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Барабанные вакуум-фильтры пульпы медного концентрата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Оборудование шихтоподготовки: питатели, весовые дозаторы, смеситель, ленточные конвейеры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Мазутные горелки ГМ-4,5 и МГМГ-10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Шнековые холодильники огарка и пылей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Силосы огарка и тонкой пыли с узлом налива автотранспорта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Станция растаривания мягких контейнеров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6.4 Порядок заполнения и представления</w:t>
      </w:r>
    </w:p>
    <w:p>
      <w:r>
        <w:rPr>
          <w:sz w:val="20"/>
        </w:rPr>
        <w:t xml:space="preserve">Сводка стоимости выпускается отдельным документом ревизии после получения предложений изготовителей. В настоящей ревизии приводятся только формы: включение в документ предварительных ценовых значений, не подтверждённых предложениями, не допускается — такие значения не соответствуют объявленному классу точности оценки и вводят в заблуждение при бюджетировании.</w:t>
      </w:r>
    </w:p>
    <w:p>
      <w:r>
        <w:rPr>
          <w:sz w:val="20"/>
        </w:rPr>
        <w:t xml:space="preserve">К сводке прилагаются: перечень адресатов запросов с датами отправки и получения ответов; копии предложений, принятых к оценке; обоснования по позициям, где число сопоставимых предложений меньше трёх; расчёт логистической составляющей; ведомость укрупнённых показателей с указанием источников ценовой базы и даты уровня цен.</w:t>
      </w:r>
    </w:p>
    <w:p>
      <w:pPr>
        <w:pStyle w:val="Heading1"/>
      </w:pPr>
      <w:r>
        <w:rPr>
          <w:b/>
          <w:sz w:val="28"/>
        </w:rPr>
        <w:t xml:space="preserve">7. Сроки стоимостного блока</w:t>
      </w:r>
    </w:p>
    <w:p>
      <w:pPr>
        <w:pStyle w:val="Heading2"/>
      </w:pPr>
      <w:r>
        <w:rPr>
          <w:b/>
          <w:sz w:val="24"/>
        </w:rPr>
        <w:t xml:space="preserve">7.1 Последовательность и сроки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900"/>
        <w:gridCol w:w="42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Шаг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Срок</w:t>
            </w:r>
          </w:p>
        </w:tc>
        <w:tc>
          <w:tcPr>
            <w:tcW w:w="4254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основного оборудования, выносимого на бюджетные предложения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Протокол с Заказчиком; перечень закрывает ориентировочно 70–80 % стоимости поставки лота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адресатов запросов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Комплекты запросов подготовлены; рассылка выполняется по решению Заказчика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Рассылка запросов и подтверждение получения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решению Заказчика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Запрос носит бюджетный характер и не является офертой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Срок представления предложения изготовителем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недели с даты получения запроса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установлен формой запроса; продление фиксируется перепиской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Уточняющая переписка и приведение предложений к единому базису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После получения предложений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определяется числом позиций и полнотой представленных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Предварительная оценка по укрупнённым показателям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1 (3 месяца)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 по распределению стоимостного блока по этапам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Бюджетные предложения по основному оборудованию и итоговая бюджетная оценка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2 (суммарно не более 6 месяцев)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Исполнителя; в проекте этапности Заказчика стоимостной блок не назван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7.2 Увязка с этапностью выпуска Базового инжиниринга</w:t>
      </w:r>
    </w:p>
    <w:p>
      <w:r>
        <w:rPr>
          <w:sz w:val="20"/>
        </w:rPr>
        <w:t xml:space="preserve">Материалы Базового инжиниринга выдаются поэтапно — для начала разработки основных технических решений до завершения полного выпуска. Проект этапности передан Заказчиком 25.08.2026 вне официальной редакции Технического задания: Этап 1 — предварительный отчёт продолжительностью 3 месяца, Этап 2 — итоговый отчёт. Исполнитель предлагает зафиксировать срок Этапа 2 равным 3 месяцам, а общий срок выпуска — не более 6 месяцев.</w:t>
      </w:r>
    </w:p>
    <w:p>
      <w:r>
        <w:rPr>
          <w:sz w:val="20"/>
        </w:rPr>
        <w:t xml:space="preserve">Стоимостной блок в проекте этапности не назван. Предложение Исполнителя: предварительная оценка стоимости поставки по укрупнённым показателям выпускается в составе Этапа 1, бюджетные предложения по основному оборудованию и итоговая бюджетная оценка комплектной поставки — в составе Этапа 2. Такое распределение даёт Заказчику ориентировочную величину капитальных затрат уже через 3 месяца, не задерживая выпуск технической части.</w:t>
      </w:r>
    </w:p>
    <w:p>
      <w:r>
        <w:rPr>
          <w:color w:val="555555"/>
          <w:sz w:val="18"/>
        </w:rPr>
        <w:t xml:space="preserve">Юридический статус этапности подлежит закреплению в Техническом задании или договоре: проект этапности передан вне официальной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7.3 Первоочередная контрактация</w:t>
      </w:r>
    </w:p>
    <w:p>
      <w:r>
        <w:rPr>
          <w:sz w:val="20"/>
        </w:rPr>
        <w:t xml:space="preserve">Первыми на запрос предложений выносятся позиции длительного цикла изготовления: печь кипящего слоя, котёл-утилизатор, сухие электрофильтры. По ним предложения нужны не только для оценки стоимости, но и для подтверждения сроков изготовления: эти сроки определяют критический путь проекта и дату готовности комплекса. Исходные требования на оборудование длительного цикла изготовления выпускаются в первой очереди этапной выдачи Базового инжиниринга.</w:t>
      </w:r>
    </w:p>
    <w:p>
      <w:r>
        <w:rPr>
          <w:sz w:val="20"/>
        </w:rPr>
        <w:t xml:space="preserve">Состав и сроки по этим позициям приведены в документе ОВЭ75-БИ-Л1-ДЦ «Исходные требования на длинноцикловое оборудование».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В разделе перечислены вопросы стоимостной части, решения по которым принимаются на стадии Базового инжиниринга либо требуют решения Заказчика. До их закрытия итоговая сводка стоимости поставки не выпускается.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основного оборудования, выносимого на бюджетные предложения (ориентировочно 70–80 % стоимости поставки лота): закрепляется протоколом с Заказчиком тем же решением, что и перечень позиций под опросные листы. Перечень задаёт границу объёма стоимостной части.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адресатов запросов по каждой позиции и дата рассылки: решение Заказчика; до решения запросы изготовителям не направляются.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базис цен единых условий запросов — валюта сведения оценки, курсы пересчёта и дата уровня цен: согласовываются с Заказчиком до рассылки.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величина резерва на неопределённость стадии: определяется по перечню источников неопределённости и согласовывается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разнесение стоимости систем управления между лотами при единой диспетчерской комплекса: закрепляется протоколом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выпуск итоговой сводки стоимости поставки: отдельный шаг после получения предложений; сроки увязываются с этапностью выпуска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валютно-логистическая схема по импортным позициям (шнековые холодильники, автоцистерны-цементовозы) и подбор аналогов производства Российской Федерации и государств Евразийского экономического союза.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граница стоимости электрооборудования — до и после комплектной трансформаторной подстанции: определяется после согласования границ поставки по Приложению №3 к Техническому заданию.</w:t>
      </w:r>
    </w:p>
    <w:p>
      <w:r>
        <w:rPr>
          <w:color w:val="555555"/>
          <w:sz w:val="18"/>
        </w:rPr>
        <w:t xml:space="preserve">Стоимостные значения по позициям перечня раздела 3 определяются по технико-коммерческим предложениям изготовителей; до их получения ценовые графы форм разделов 5 и 6 не заполняются.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l1 st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