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содержит данные о тепловыделениях от поверхностей оборудования Лота №2 «Участок купороса» в помещения и о выделениях вредных веществ от оборудования в помещения, а также вытекающие из них исходные требования смежным разделам. Документ выполняет пункты состава Базового инжиниринга «тепловыделения от поверхностей оборудования в помещения цеха» и «выделение вредностей от оборудования в помещения цеха» Технического задания на Базовый инжиниринг ред. 4.1.</w:t>
      </w:r>
    </w:p>
    <w:p>
      <w:r>
        <w:rPr>
          <w:sz w:val="20"/>
        </w:rPr>
        <w:t xml:space="preserve">Приведённые данные являются исходными для разработки раздела отопления, вентиляции и кондиционирования воздуха (расчёт воздухообмена, подбор систем общеобменной и аварийной вентиляции, местных отсосов и отопления) и для разработки раздела охраны окружающей среды проектной документации (инвентаризация источников выбросов, расчёт рассеивания, нормативы допустимых выбросов). Оба раздела выполняются генеральным проектировщиком; настоящий документ данные для них формирует, но сами расчёты воздухообмена и рассеивания не содержит.</w:t>
      </w:r>
    </w:p>
    <w:p>
      <w:r>
        <w:rPr>
          <w:sz w:val="20"/>
        </w:rPr>
        <w:t xml:space="preserve">Участок получения медного и медно-никелевого купороса. Проработанный вариант размещения — существующее здание гидрометаллургического участка с заглублением гидрозатворов барометрических труб в приямки; базовый сценарий — новый корпус с высотой до низа ферм не менее 13,5 м. Определяющая особенность лота по настоящему разделу: аппаратный контур герметичен и работает под разрежением, поэтому постоянных выделений из аппаратов нет — выделения сосредоточены на узлах выгрузки центрифуг, фасовки продукта и пробоотбора, а тепловыделения ограничены потерями изолированных поверхностей выпарки.</w:t>
      </w:r>
    </w:p>
    <w:p>
      <w:r>
        <w:rPr>
          <w:color w:val="666666"/>
          <w:sz w:val="17"/>
        </w:rPr>
        <w:t xml:space="preserve">Источник: ИД ч.2 (табл. 3.1 — параметры потоков и тепловые нагрузки, рис. 4.4 и 4.5 — спецификации ниток выпарки, п. 1.3.12 и 1.3.13 — параметры пара и оборотной воды, разд. 4.2.1 — материальное исполнение); ТЗ на БИ ред. 4.1 (п. 4.1 — составы сред, п. 4.4 — состав оборудования); расчётная модель КВАНТ</w:t>
      </w:r>
    </w:p>
    <w:p>
      <w:r>
        <w:rPr>
          <w:sz w:val="20"/>
        </w:rPr>
        <w:t xml:space="preserve">Связанные документы выпуска по лоту:</w:t>
      </w:r>
    </w:p>
    <w:p>
      <w:r>
        <w:rPr>
          <w:sz w:val="20"/>
        </w:rPr>
        <w:t xml:space="preserve">— ОВЭ75-БИ-Л2-ПЗ — Пояснительная записка</w:t>
      </w:r>
    </w:p>
    <w:p>
      <w:r>
        <w:rPr>
          <w:sz w:val="20"/>
        </w:rPr>
        <w:t xml:space="preserve">— ОВЭ75-БИ-Л2-КР — Компоновочные решения (планы, разрезы)</w:t>
      </w:r>
    </w:p>
    <w:p>
      <w:r>
        <w:rPr>
          <w:sz w:val="20"/>
        </w:rPr>
        <w:t xml:space="preserve">— ОВЭ75-БИ-Л2-СО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ОВЭ75-БИ-Л2-ОЛ — Опросные листы основного оборудования (альбом)</w:t>
      </w:r>
    </w:p>
    <w:p>
      <w:r>
        <w:rPr>
          <w:sz w:val="20"/>
        </w:rPr>
        <w:t xml:space="preserve">— ОВЭ75-БИ-Л2-PID — Предварительные схемы трубопроводов и КИПиА (P&amp;ID)</w:t>
      </w:r>
    </w:p>
    <w:p>
      <w:r>
        <w:rPr>
          <w:sz w:val="20"/>
        </w:rPr>
        <w:t xml:space="preserve">— ОВЭ75-БИ-Л2-НГ — Планы строительных конструкций и фундаментов с предварительными нагрузками</w:t>
      </w:r>
    </w:p>
    <w:p>
      <w:pPr>
        <w:pStyle w:val="Heading2"/>
      </w:pPr>
      <w:r>
        <w:rPr>
          <w:b/>
          <w:sz w:val="24"/>
        </w:rPr>
        <w:t xml:space="preserve">1.2 Границы объёма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50"/>
        <w:gridCol w:w="6904"/>
      </w:tblGrid>
      <w:tr>
        <w:trPr>
          <w:tblHeader/>
          <w:cantSplit/>
        </w:trPr>
        <w:tc>
          <w:tcPr>
            <w:tcW w:w="2450" w:type="dxa"/>
            <w:shd w:val="clear" w:fill="EFEFEF"/>
          </w:tcPr>
          <w:p>
            <w:r>
              <w:rPr>
                <w:b/>
                <w:sz w:val="15"/>
              </w:rPr>
              <w:t xml:space="preserve">Раздел объёма</w:t>
            </w:r>
          </w:p>
        </w:tc>
        <w:tc>
          <w:tcPr>
            <w:tcW w:w="690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Выдаётся в составе Базового инжиниринга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Ведомость тепловыделений от поверхностей оборудования в помещения с указанием места, величины, характера выделения и источника оценки; перечень выделяющихся вредных веществ с гигиеническими нормативами; ведомость источников выделений с характером и требованиями к локализации; требования к укрытиям, местным отсосам и аспирации технологического оборудования; характеристика помещений и режимов работы; сводные данные по воздействию на окружающую среду в объёме, вытекающем из балансов лота.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Выполняет смежный проектировщик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Расчёт воздухообмена и подбор систем общеобменной вентиляции, отопления, кондиционирования и аварийной вентиляции; расчёт производительности местных отсосов по принятым укрытиям; расчёт систем противодымной вентиляции; расчёт рассеивания выбросов, нормативы допустимых выбросов и разделы охраны окружающей среды проектной документации.</w:t>
            </w:r>
          </w:p>
        </w:tc>
      </w:tr>
      <w:tr>
        <w:trPr>
          <w:cantSplit/>
        </w:trPr>
        <w:tc>
          <w:tcPr>
            <w:tcW w:w="2450" w:type="dxa"/>
          </w:tcPr>
          <w:p>
            <w:r>
              <w:rPr>
                <w:sz w:val="17"/>
              </w:rPr>
              <w:t xml:space="preserve">Уточняется по данным изготовителей и по результатам обследования</w:t>
            </w:r>
          </w:p>
        </w:tc>
        <w:tc>
          <w:tcPr>
            <w:tcW w:w="6904" w:type="dxa"/>
          </w:tcPr>
          <w:p>
            <w:r>
              <w:rPr>
                <w:sz w:val="17"/>
              </w:rPr>
              <w:t xml:space="preserve">Фактические температуры поверхностей, толщины и конструкция теплоизоляции по конструкторской документации; интенсивности пылевыделения и аэрозолеобразования по опросным листам и техническим предложениям на укрытия, центрифуги, узлы фасовки, аспирационное и газоочистное оборудование; уровни шума и вибрации по паспортам оборудования; подтверждение расчётных значений тепловизионным обследованием и замерами воздуха рабочей зоны при пусконаладочных работах.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1.3 Статус и достоверность данных</w:t>
      </w:r>
    </w:p>
    <w:p>
      <w:r>
        <w:rPr>
          <w:sz w:val="20"/>
        </w:rPr>
        <w:t xml:space="preserve">Статус данных настоящего документа установлен редакцией 4.1 Технического задания, принятой Заказчиком: предварительные расчётные данные по аналогам. Подтверждение величин выполняется на детальном этапе по данным изготовителей оборудования, а по выделениям вредностей — дополнительно замерами воздуха рабочей зоны при пусконаладочных работах и в рамках программы производственного контроля.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900"/>
        <w:gridCol w:w="3700"/>
        <w:gridCol w:w="3754"/>
      </w:tblGrid>
      <w:tr>
        <w:trPr>
          <w:tblHeader/>
          <w:cantSplit/>
        </w:trPr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</w:t>
            </w:r>
          </w:p>
        </w:tc>
        <w:tc>
          <w:tcPr>
            <w:tcW w:w="3700" w:type="dxa"/>
            <w:shd w:val="clear" w:fill="EFEFEF"/>
          </w:tcPr>
          <w:p>
            <w:r>
              <w:rPr>
                <w:b/>
                <w:sz w:val="15"/>
              </w:rPr>
              <w:t xml:space="preserve">Признак</w:t>
            </w:r>
          </w:p>
        </w:tc>
        <w:tc>
          <w:tcPr>
            <w:tcW w:w="37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использования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Задано исходными данными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приведена в исходных данных Заказчика или в Техническом задании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без изменения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Расчёт по балансу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получена из теплового или материального баланса лота как статья, не отведённая теплоносителями и не унесённая материальными потоками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Принимается как расчётная верхняя оценка; уточняется после теплового расчёта изоляции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Оценка по аналогам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Величина принята по опыту аналогичных переделов и задана диапазоном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В расчёт воздухообмена принимается верхняя граница диапазона</w:t>
            </w:r>
          </w:p>
        </w:tc>
      </w:tr>
      <w:tr>
        <w:trPr>
          <w:cantSplit/>
        </w:trPr>
        <w:tc>
          <w:tcPr>
            <w:tcW w:w="1900" w:type="dxa"/>
          </w:tcPr>
          <w:p>
            <w:r>
              <w:rPr>
                <w:sz w:val="17"/>
              </w:rPr>
              <w:t xml:space="preserve">По техническому предложению изготовителя</w:t>
            </w:r>
          </w:p>
        </w:tc>
        <w:tc>
          <w:tcPr>
            <w:tcW w:w="3700" w:type="dxa"/>
          </w:tcPr>
          <w:p>
            <w:r>
              <w:rPr>
                <w:sz w:val="17"/>
              </w:rPr>
              <w:t xml:space="preserve">Характеристика исходными данными не задана и определяется комплектацией</w:t>
            </w:r>
          </w:p>
        </w:tc>
        <w:tc>
          <w:tcPr>
            <w:tcW w:w="3754" w:type="dxa"/>
          </w:tcPr>
          <w:p>
            <w:r>
              <w:rPr>
                <w:sz w:val="17"/>
              </w:rPr>
              <w:t xml:space="preserve">Резервируются производительность системы и место размещения оборудования; величина вносится в ведомость итерацией после получения технических предложений</w:t>
            </w:r>
          </w:p>
        </w:tc>
      </w:tr>
    </w:tbl>
    <w:p>
      <w:r>
        <w:rPr>
          <w:color w:val="555555"/>
          <w:sz w:val="18"/>
        </w:rPr>
        <w:t xml:space="preserve">Записи в графах ведомостей: «По техническому предложению изготовителя» — характеристика исходными данными не задана и вносится по техническому предложению; «Определяется на стадии БИ» — величину дают расчёты и решения текущей стадии; знак «—» — характеристика к позиции не применима.</w:t>
      </w:r>
    </w:p>
    <w:p>
      <w:pPr>
        <w:pStyle w:val="Heading2"/>
      </w:pPr>
      <w:r>
        <w:rPr>
          <w:b/>
          <w:sz w:val="24"/>
        </w:rPr>
        <w:t xml:space="preserve">1.4 Нормативная база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900"/>
        <w:gridCol w:w="6454"/>
      </w:tblGrid>
      <w:tr>
        <w:trPr>
          <w:tblHeader/>
          <w:cantSplit/>
        </w:trPr>
        <w:tc>
          <w:tcPr>
            <w:tcW w:w="29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6454" w:type="dxa"/>
            <w:shd w:val="clear" w:fill="EFEFEF"/>
          </w:tcPr>
          <w:p>
            <w:r>
              <w:rPr>
                <w:b/>
                <w:sz w:val="15"/>
              </w:rPr>
              <w:t xml:space="preserve">Область применения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60.13330.2020 «Отопление, вентиляция и кондиционирование воздуха»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Ассимиляция тепло- и влаговыделений, местные отсосы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61.13330.2012 «Тепловая изоляция оборудования и трубопроводов»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Нормируемая плотность теплового потока; температура поверхности изоляции в обслуживаемых зонах не выше 45 °C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28.13330.2017 «Защита строительных конструкций от коррозии»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Степень агрессивности среды к бетону и стали, кислотостойкое исполнение полов и приямков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12.1.005-88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Общие санитарно-гигиенические требования к воздуху рабочей зоны; предельно допустимые концентрации и классы опасности вредных веществ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СанПиН 1.2.3685-21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Гигиенические нормативы: предельно допустимые концентрации, параметры микроклимата, тепловое облучение, шум, вибрация, магнитные поля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12.1.003-2014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Шум — общие требования безопасности и допустимые уровни на рабочих местах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12.1.012-2004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Вибрационная безопасность — допустимые уровни на рабочих местах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12.13130.2009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Категорирование помещений по взрывопожарной и пожарной опасности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2.2.3670-20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Санитарно-эпидемиологические требования к условиям труда, производственный контроль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ГОСТ 12.4.021-75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Системы вентиляционные — общие требования к устройству и эксплуатации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СП 60.13330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Отопление, вентиляция, кондиционирование — базис расчёта отопления и вентиляции генпроектировщиком по выданным данным</w:t>
            </w:r>
          </w:p>
        </w:tc>
      </w:tr>
      <w:tr>
        <w:trPr>
          <w:cantSplit/>
        </w:trPr>
        <w:tc>
          <w:tcPr>
            <w:tcW w:w="2900" w:type="dxa"/>
          </w:tcPr>
          <w:p>
            <w:r>
              <w:rPr>
                <w:sz w:val="17"/>
              </w:rPr>
              <w:t xml:space="preserve">ФККО (приказ Росприроднадзора)</w:t>
            </w:r>
          </w:p>
        </w:tc>
        <w:tc>
          <w:tcPr>
            <w:tcW w:w="6454" w:type="dxa"/>
          </w:tcPr>
          <w:p>
            <w:r>
              <w:rPr>
                <w:sz w:val="17"/>
              </w:rPr>
              <w:t xml:space="preserve">Классификация образующихся отходов — номенклатура и классы опасности на стадии Базового инжиниринга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1.5 Режим работы и условия эксплуатации</w:t>
      </w:r>
    </w:p>
    <w:p>
      <w:r>
        <w:rPr>
          <w:sz w:val="20"/>
        </w:rPr>
        <w:t xml:space="preserve">Тепловыделения и выделения вредностей приведены для установившегося режима работы оборудования. Режим работы лота и климатические условия площадки определяют расчётные режимы систем вентиляции и отопления и режим работы источников выбросов.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4700"/>
        <w:gridCol w:w="21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4700" w:type="dxa"/>
            <w:shd w:val="clear" w:fill="EFEFEF"/>
          </w:tcPr>
          <w:p>
            <w:r>
              <w:rPr>
                <w:b/>
                <w:sz w:val="15"/>
              </w:rPr>
              <w:t xml:space="preserve">Значение</w:t>
            </w:r>
          </w:p>
        </w:tc>
        <w:tc>
          <w:tcPr>
            <w:tcW w:w="21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Режим работы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Круглосуточный, 347 суток в году, фонд времени 8 322 ч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ч.2; расчётная модель КВАНТ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Расчётный режим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Работа обеих ниток выпарки на номинальной нагрузке; тепловыделения приведены для суммы ниток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Периодические операции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Выгрузка центрифуг, фасовка продукта, пробоотбор, промывки и опорожнения аппаратов при плановых остановках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ч.2 разд. 4.2.1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холодная пятидневка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−34 °C при обеспеченности 0,98; −30 °C при 0,92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Наиболее холодные сутки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−40 °C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Отопительный период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271 сутки при средней температуре наружного воздуха −4,5 °C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7"/>
              </w:rPr>
              <w:t xml:space="preserve">Строительно-климатическая зона</w:t>
            </w:r>
          </w:p>
        </w:tc>
        <w:tc>
          <w:tcPr>
            <w:tcW w:w="4700" w:type="dxa"/>
          </w:tcPr>
          <w:p>
            <w:r>
              <w:rPr>
                <w:sz w:val="17"/>
              </w:rPr>
              <w:t xml:space="preserve">IIА, субарктический климат</w:t>
            </w:r>
          </w:p>
        </w:tc>
        <w:tc>
          <w:tcPr>
            <w:tcW w:w="2154" w:type="dxa"/>
          </w:tcPr>
          <w:p>
            <w:r>
              <w:rPr>
                <w:sz w:val="17"/>
              </w:rPr>
              <w:t xml:space="preserve">ИД ч.1</w:t>
            </w:r>
          </w:p>
        </w:tc>
      </w:tr>
    </w:tbl>
    <w:p>
      <w:r>
        <w:rPr>
          <w:sz w:val="20"/>
        </w:rPr>
        <w:t xml:space="preserve">Из климатических условий площадки вытекают требования, учитываемые при выдаче данных в раздел отопления и вентиляции: в холодный период года тепловыделения оборудования частично замещают отопление производственных помещений, поэтому расчёт систем выполняется на два режима — тёплый период с максимальным воздухообменом на ассимиляцию теплоизбытков и холодный период с проверкой достаточности тепловыделений; в нерабочих зонах предусматривается дежурное отопление на +5 °C; наружные ворота и проёмы с интенсивным движением транспорта оборудуются воздушно-тепловыми завесами.</w:t>
      </w:r>
    </w:p>
    <w:p>
      <w:pPr>
        <w:pStyle w:val="Heading1"/>
      </w:pPr>
      <w:r>
        <w:rPr>
          <w:b/>
          <w:sz w:val="28"/>
        </w:rPr>
        <w:t xml:space="preserve">2. Методика определения</w:t>
      </w:r>
    </w:p>
    <w:p>
      <w:pPr>
        <w:pStyle w:val="Heading2"/>
      </w:pPr>
      <w:r>
        <w:rPr>
          <w:b/>
          <w:sz w:val="24"/>
        </w:rPr>
        <w:t xml:space="preserve">2.1 Общий подход</w:t>
      </w:r>
    </w:p>
    <w:p>
      <w:r>
        <w:rPr>
          <w:sz w:val="20"/>
        </w:rPr>
        <w:t xml:space="preserve">Тепловыделения от поверхностей оборудования в помещения определены двумя независимыми путями с последующим сопоставлением результатов.</w:t>
      </w:r>
    </w:p>
    <w:p>
      <w:r>
        <w:rPr>
          <w:sz w:val="20"/>
        </w:rPr>
        <w:t xml:space="preserve">Путь первый — по тепловым балансам лота. Тепло, не отведённое целевыми теплоносителями (пар, оборотная вода, отходящие газы) и не унесённое материальными потоками продуктов, поступает в объём помещения. Для оборудования, тепловой баланс которого задан исходными данными Заказчика, этот путь даёт верхнюю оценку без дополнительных допущений и является основным.</w:t>
      </w:r>
    </w:p>
    <w:p>
      <w:r>
        <w:rPr>
          <w:sz w:val="20"/>
        </w:rPr>
        <w:t xml:space="preserve">Путь второй — по поверхностям оборудования. Тепловой поток от изолированных поверхностей принимается по нормируемой плотности теплового потока, от неизолированных — по суммарному коэффициенту теплоотдачи, учитывающему конвекцию и излучение, и разности температур поверхности и воздуха помещения. Этот путь применяется там, где баланс аппарата исходными данными не задан, и служит проверкой первого пути.</w:t>
      </w:r>
    </w:p>
    <w:p>
      <w:r>
        <w:rPr>
          <w:sz w:val="20"/>
        </w:rPr>
        <w:t xml:space="preserve">Тепловыделение электроприводов принимается равным 10 % потребляемой мощности приводов, размещённых в отапливаемых помещениях: потери в двигателе и передаче переходят в теплоту помещения, полезная работа передаётся перемещаемой среде или материалу.</w:t>
      </w:r>
    </w:p>
    <w:p>
      <w:r>
        <w:rPr>
          <w:sz w:val="20"/>
        </w:rPr>
        <w:t xml:space="preserve">Выделения вредностей определены по составам перерабатываемых материалов и растворов из материальных балансов лота с указанием характера выделения — постоянного или связанного с периодическими операциями. Количественные интенсивности выделений в единицах массы за единицу времени приводятся там, где они следуют из балансов; в остальных случаях выдаются перечень контролируемых веществ, гигиенические нормативы и целевые концентрации в воздухе рабочей зоны, а количественная оценка выполняется после фиксации расходов местных отсосов совместно со смежным проектировщиком.</w:t>
      </w:r>
    </w:p>
    <w:p>
      <w:pPr>
        <w:pStyle w:val="Heading2"/>
      </w:pPr>
      <w:r>
        <w:rPr>
          <w:b/>
          <w:sz w:val="24"/>
        </w:rPr>
        <w:t xml:space="preserve">2.2 Расчётные предпосылки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100"/>
        <w:gridCol w:w="3600"/>
        <w:gridCol w:w="2654"/>
      </w:tblGrid>
      <w:tr>
        <w:trPr>
          <w:tblHeader/>
          <w:cantSplit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5"/>
              </w:rPr>
              <w:t xml:space="preserve">Величина</w:t>
            </w:r>
          </w:p>
        </w:tc>
        <w:tc>
          <w:tcPr>
            <w:tcW w:w="3600" w:type="dxa"/>
            <w:shd w:val="clear" w:fill="EFEFEF"/>
          </w:tcPr>
          <w:p>
            <w:r>
              <w:rPr>
                <w:b/>
                <w:sz w:val="15"/>
              </w:rPr>
              <w:t xml:space="preserve">Принятое значение</w:t>
            </w:r>
          </w:p>
        </w:tc>
        <w:tc>
          <w:tcPr>
            <w:tcW w:w="26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Нормируемая плотность теплового потока изолированных поверхностей горячих трактов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150–300 Вт/м²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СП 61.13330.2012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Предельная температура поверхности изоляции в обслуживаемых зонах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не выше 45 °C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СП 61.13330.2012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Суммарный коэффициент теплоотдачи неизолированной поверхности (конвекция и излучение)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10 Вт/(м²·К) — принято, уточняется на стадии БИ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Доля потребляемой мощности электропривода, переходящая в теплоту помещения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10 %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Невязка теплового баланса выпарки — потери корпусов, трубопроводов и баков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не более 5 % подведённой тепловой мощности (сходимость расчёта испарения I ступени составила 95 %)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Подведённая тепловая мощность подогревателей I ступеней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1,22 МВт по нитке 1 (поверхность 63 м²) и 0,52 МВт по нитке 2 (поверхность 25 м²) при греющем паре 0,6 МПа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ч.2 табл. 3.1 и п. 1.3.13; расчётная модель КВАНТ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Температура сред в аппаратах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I ступени 40 °C, II ступени 20 °C, гидрозатворы барометрических труб около 27,5 °C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ч.2 табл. 3.1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Разрежение в аппаратном контуре</w:t>
            </w:r>
          </w:p>
        </w:tc>
        <w:tc>
          <w:tcPr>
            <w:tcW w:w="3600" w:type="dxa"/>
          </w:tcPr>
          <w:p>
            <w:r>
              <w:rPr>
                <w:sz w:val="17"/>
              </w:rPr>
              <w:t xml:space="preserve">0,075 атм в барометрических конденсаторах, 0,013 атм на II ступенях — постоянных выделений из аппаратов в помещение нет</w:t>
            </w:r>
          </w:p>
        </w:tc>
        <w:tc>
          <w:tcPr>
            <w:tcW w:w="2654" w:type="dxa"/>
          </w:tcPr>
          <w:p>
            <w:r>
              <w:rPr>
                <w:sz w:val="17"/>
              </w:rPr>
              <w:t xml:space="preserve">ИД ч.2 табл. 4.2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2.3 Порядок уточнения</w:t>
      </w:r>
    </w:p>
    <w:p>
      <w:r>
        <w:rPr>
          <w:sz w:val="20"/>
        </w:rPr>
        <w:t xml:space="preserve">Уточнение приведённых величин выполняется в следующем порядке. Тепловыделения пересчитываются после теплового расчёта изоляции с фактическими поверхностями и толщинами и после получения конструкторской документации изготовителей — результатом является тепловой паспорт по помещениям в форме «аппарат — поверхность, м² — температура поверхности, °C — тепловой поток, Вт». Интенсивности выделений вредностей уточняются после фиксации расходов местных отсосов и по данным изготовителей укрытий и газоочистного оборудования. Итоговое подтверждение обеих групп величин выполняется замерами при пусконаладочных работах.</w:t>
      </w:r>
    </w:p>
    <w:p>
      <w:pPr>
        <w:pStyle w:val="Heading1"/>
      </w:pPr>
      <w:r>
        <w:rPr>
          <w:b/>
          <w:sz w:val="28"/>
        </w:rPr>
        <w:t xml:space="preserve">3. Тепловыделения от оборудования в помещения</w:t>
      </w:r>
    </w:p>
    <w:p>
      <w:pPr>
        <w:pStyle w:val="Heading2"/>
      </w:pPr>
      <w:r>
        <w:rPr>
          <w:b/>
          <w:sz w:val="24"/>
        </w:rPr>
        <w:t xml:space="preserve">3.1 Распределение теплового баланса лота</w:t>
      </w:r>
    </w:p>
    <w:p>
      <w:r>
        <w:rPr>
          <w:sz w:val="20"/>
        </w:rPr>
        <w:t xml:space="preserve">Ниже приведено распределение тепловых потоков лота с указанием того, куда отводится каждая статья. Из распределения выделяется часть, поступающая в объём помещений и подлежащая ассимиляции вентиляцией.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3400"/>
        <w:gridCol w:w="29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Статья теплового баланса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Тепловой поток</w:t>
            </w:r>
          </w:p>
        </w:tc>
        <w:tc>
          <w:tcPr>
            <w:tcW w:w="2954" w:type="dxa"/>
            <w:shd w:val="clear" w:fill="EFEFEF"/>
          </w:tcPr>
          <w:p>
            <w:r>
              <w:rPr>
                <w:b/>
                <w:sz w:val="15"/>
              </w:rPr>
              <w:t xml:space="preserve">Куда отводится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Подведённая тепловая мощность подогревателей I ступеней (греющий пар 0,6 МПа)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1,22 МВт (нитка 1) + 0,52 МВт (нитка 2) = 1,74 МВт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Испарение раствора в корпусах испарителей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Самоиспарение перегретого питания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261 кг/ч по нитке 1 при охлаждении питания с 70 до 40 °C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Соковый пар II ступени и конденсация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Нагрузка барометрических конденсаторов и конденсаторов пароэжекторных блоков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2,17 + 0,19 + 0,67 + 0,11 ≈ 3,1 МВт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Оборотная вода кислой системы 568 м³/ч с нагревом около 5 К, далее на градирню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Потери корпусов аппаратов, трубопроводов и баков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не более 5 % подведённой мощности: около 87 кВт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В объём помещения участка — определяющая статья настоящего документа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Тепло, выводимое с продуктом и растворами</w:t>
            </w:r>
          </w:p>
        </w:tc>
        <w:tc>
          <w:tcPr>
            <w:tcW w:w="3400" w:type="dxa"/>
          </w:tcPr>
          <w:p>
            <w:r>
              <w:rPr>
                <w:sz w:val="17"/>
              </w:rPr>
              <w:t xml:space="preserve">Смешанный купорос 6 658 т/год с остаточной влажностью 4–6 %; маточник-2 при температуре не ниже 30–40 °C</w:t>
            </w:r>
          </w:p>
        </w:tc>
        <w:tc>
          <w:tcPr>
            <w:tcW w:w="2954" w:type="dxa"/>
          </w:tcPr>
          <w:p>
            <w:r>
              <w:rPr>
                <w:sz w:val="17"/>
              </w:rPr>
              <w:t xml:space="preserve">Выводится за границы участка</w:t>
            </w:r>
          </w:p>
        </w:tc>
      </w:tr>
    </w:tbl>
    <w:p>
      <w:r>
        <w:rPr>
          <w:sz w:val="20"/>
        </w:rPr>
        <w:t xml:space="preserve">Из приведённого распределения следует, что определяющая часть подведённого тепла уходит с соковым паром в конденсаторы и далее оборотной водой на градирню кислой системы, минуя объём помещения. В помещение поступают только потери изолированных поверхностей аппаратов, трубопроводов и обогреваемых баков, а также тепловыделение электроприводов.</w:t>
      </w:r>
    </w:p>
    <w:p>
      <w:pPr>
        <w:pStyle w:val="Heading2"/>
      </w:pPr>
      <w:r>
        <w:rPr>
          <w:b/>
          <w:sz w:val="24"/>
        </w:rPr>
        <w:t xml:space="preserve">3.2 Ведомость тепловыделений в помещения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700"/>
        <w:gridCol w:w="2700"/>
        <w:gridCol w:w="1200"/>
        <w:gridCol w:w="1400"/>
        <w:gridCol w:w="2354"/>
      </w:tblGrid>
      <w:tr>
        <w:trPr>
          <w:tblHeader/>
          <w:cantSplit/>
        </w:trPr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Место (помещение, зона)</w:t>
            </w:r>
          </w:p>
        </w:tc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тепловыделения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5"/>
              </w:rPr>
              <w:t xml:space="preserve">В помещение, кВт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оценки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Зона выпарки: этажерка и отметка 0,000, обе нитки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Корпуса испарителей I ступеней, выносные подогреватели, паропроводы глухого и острого пара, обогреваемые баки маточника и репульпатор растворения: потери изолированных поверхностей — не более 5 % подведённой тепловой мощности 1,74 МВт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90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Расчётная модель КВАНТ по невязке теплового баланса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Зона выпарки, отметка 0,000 и приямки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Открытые зеркала воды в гидрозатворах барометрических труб (около 27,5 °C) и корпуса испарителей II ступеней (20 °C) — низкотемпературный вклад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Учтено в строке 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Зона выпарки, фугования и фасовки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Электроприводы: циркуляционные насосы 2 × 22 и 2 × 11 кВт, насосы репульпаторов 7,5 и 3 кВт, центрифуги 15 кВт, насосы фугата 1,5 кВт — установленная мощность по спецификациям 114 кВт, полная оценочно 160–220 кВт; около 10 % потребляемой мощности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10–20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ч.2 рис. 4.4 и 4.5; 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Зона выпарки (аппараты конденсации)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Барометрические конденсаторы и конденсаторы пароэжекторных блоков: нагрузка 3,1 МВт отводится оборотной водой кислой системы на градирню, в помещение поступают только потери изолированных поверхностей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Учтено в строке 1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ИД ч.2 рис. 4.4 и 4.5; Расчётная модель КВАНТ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Помещение вакуум-насосов пароэжекторных блоков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Водокольцевые вакуум-насосы ВВН1-6 и ВВН1-3: тепловыделение приводов и охлаждение рабочей жидкости водяного кольца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По техническому предложению изготовителя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Зона фасовки и склад тары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 xml:space="preserve">Оборудование фасовки в биг-беги, пробоотбора и коммерческого учёта; напольный транспорт</w:t>
            </w:r>
          </w:p>
        </w:tc>
        <w:tc>
          <w:tcPr>
            <w:tcW w:w="1200" w:type="dxa"/>
          </w:tcPr>
          <w:p>
            <w:r>
              <w:rPr>
                <w:sz w:val="16"/>
              </w:rPr>
              <w:t xml:space="preserve">Уточняется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Периодический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По техническому предложению изготовителя</w:t>
            </w:r>
          </w:p>
        </w:tc>
      </w:tr>
      <w:tr>
        <w:trPr>
          <w:cantSplit/>
        </w:trPr>
        <w:tc>
          <w:tcPr>
            <w:tcW w:w="1700" w:type="dxa"/>
            <w:shd w:val="clear" w:fill="F7F7F7"/>
          </w:tcPr>
          <w:p>
            <w:r>
              <w:rPr>
                <w:b/>
                <w:sz w:val="16"/>
              </w:rPr>
              <w:t xml:space="preserve">Итого в объём помещений участка</w:t>
            </w:r>
          </w:p>
        </w:tc>
        <w:tc>
          <w:tcPr>
            <w:tcW w:w="2700" w:type="dxa"/>
            <w:shd w:val="clear" w:fill="F7F7F7"/>
          </w:tcPr>
          <w:p>
            <w:r>
              <w:rPr>
                <w:b/>
                <w:sz w:val="16"/>
              </w:rPr>
              <w:t xml:space="preserve">Принимается для выдачи в раздел отопления и вентиляции: 90 кВт по технологическим аппаратам и трубопроводам и 10–20 кВт по электроприводам</w:t>
            </w:r>
          </w:p>
        </w:tc>
        <w:tc>
          <w:tcPr>
            <w:tcW w:w="1200" w:type="dxa"/>
            <w:shd w:val="clear" w:fill="F7F7F7"/>
          </w:tcPr>
          <w:p>
            <w:r>
              <w:rPr>
                <w:b/>
                <w:sz w:val="16"/>
              </w:rPr>
              <w:t xml:space="preserve">100–110</w:t>
            </w:r>
          </w:p>
        </w:tc>
        <w:tc>
          <w:tcPr>
            <w:tcW w:w="1400" w:type="dxa"/>
            <w:shd w:val="clear" w:fill="F7F7F7"/>
          </w:tcPr>
          <w:p>
            <w:r>
              <w:rPr>
                <w:b/>
                <w:sz w:val="16"/>
              </w:rPr>
              <w:t xml:space="preserve">Постоянный</w:t>
            </w:r>
          </w:p>
        </w:tc>
        <w:tc>
          <w:tcPr>
            <w:tcW w:w="2354" w:type="dxa"/>
            <w:shd w:val="clear" w:fill="F7F7F7"/>
          </w:tcPr>
          <w:p>
            <w:r>
              <w:rPr>
                <w:b/>
                <w:sz w:val="16"/>
              </w:rPr>
              <w:t xml:space="preserve">Расчётная модель КВАНТ</w:t>
            </w:r>
          </w:p>
        </w:tc>
      </w:tr>
    </w:tbl>
    <w:p>
      <w:r>
        <w:rPr>
          <w:color w:val="555555"/>
          <w:sz w:val="18"/>
        </w:rPr>
        <w:t xml:space="preserve">Для зоны выпарки принято 90 кВт при расчётном значении 87 кВт — верхняя граница потерь изолированных поверхностей. Запись «Уточняется» означает, что величина определяется по техническому предложению изготовителя.</w:t>
      </w:r>
    </w:p>
    <w:p>
      <w:pPr>
        <w:pStyle w:val="Heading2"/>
      </w:pPr>
      <w:r>
        <w:rPr>
          <w:b/>
          <w:sz w:val="24"/>
        </w:rPr>
        <w:t xml:space="preserve">3.3 Пояснения к ведомости</w:t>
      </w:r>
    </w:p>
    <w:p>
      <w:r>
        <w:rPr>
          <w:sz w:val="20"/>
        </w:rPr>
        <w:t xml:space="preserve">Определяющей для расчёта воздухообмена является оценка 100–110 кВт. Для зоны выпарки принимается 90 кВт как верхняя граница потерь изолированных поверхностей; после выбора тепловой изоляции с фактическими поверхностями и толщинами значение уточняется в меньшую сторону. Тепловыделения участка невелики, и определяющим для расчёта вентиляции является не тепло, а влаговыделения зоны выпарки и локализация пыли кристаллогидрата на узлах выгрузки центрифуг и фасовки.</w:t>
      </w:r>
    </w:p>
    <w:p>
      <w:r>
        <w:rPr>
          <w:sz w:val="20"/>
        </w:rPr>
        <w:t xml:space="preserve">Температура доступных поверхностей изоляции в обслуживаемых зонах ограничивается 45 °C, что одновременно является требованием безопасности и условием, при котором принятая оценка потерь остаётся действительной.</w:t>
      </w:r>
    </w:p>
    <w:p>
      <w:pPr>
        <w:pStyle w:val="Heading1"/>
      </w:pPr>
      <w:r>
        <w:rPr>
          <w:b/>
          <w:sz w:val="28"/>
        </w:rPr>
        <w:t xml:space="preserve">4. Выделения вредностей от оборудования</w:t>
      </w:r>
    </w:p>
    <w:p>
      <w:pPr>
        <w:pStyle w:val="Heading2"/>
      </w:pPr>
      <w:r>
        <w:rPr>
          <w:b/>
          <w:sz w:val="24"/>
        </w:rPr>
        <w:t xml:space="preserve">4.1 Перечень контролируемых веществ и гигиенические нормативы</w:t>
      </w:r>
    </w:p>
    <w:p>
      <w:r>
        <w:rPr>
          <w:sz w:val="20"/>
        </w:rPr>
        <w:t xml:space="preserve">Перечень составлен по составам перерабатываемых материалов и растворов из материальных балансов лота. Гигиенические нормативы приведены для воздуха рабочей зоны и используются как целевые показатели при расчёте воздухообмена и при назначении программы производственного контроля.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00"/>
        <w:gridCol w:w="1750"/>
        <w:gridCol w:w="1100"/>
        <w:gridCol w:w="4204"/>
      </w:tblGrid>
      <w:tr>
        <w:trPr>
          <w:tblHeader/>
          <w:cantSplit/>
        </w:trPr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Вещество или фактор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Норматив в воздухе рабочей зоны</w:t>
            </w:r>
          </w:p>
        </w:tc>
        <w:tc>
          <w:tcPr>
            <w:tcW w:w="1100" w:type="dxa"/>
            <w:shd w:val="clear" w:fill="EFEFEF"/>
          </w:tcPr>
          <w:p>
            <w:r>
              <w:rPr>
                <w:b/>
                <w:sz w:val="15"/>
              </w:rPr>
              <w:t xml:space="preserve">Класс опасности</w:t>
            </w:r>
          </w:p>
        </w:tc>
        <w:tc>
          <w:tcPr>
            <w:tcW w:w="420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и примечание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Пыль кристаллогидрата — соли никеля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0,005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1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12.1.005-88; канцероген. Лимитирующая вредность участка: определяет обязательность местных отсосов на узлах выгрузки и фасовки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Пыль кристаллогидрата — соли меди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0,5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Аэрозоль серной кислоты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 мг/м³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2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ГОСТ 12.1.005-88. Источник — растворы с содержанием серной кислоты 17,9–61 кг/м³, маточник второй ступени до 400 кг/м³, кислая оборотная вода до 0,5 г/л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Пары воды (влаговыделения)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Нормируется параметрами микроклимата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СанПиН 1.2.3685-21. Источники — открытые зеркала гидрозатворов, приямки, промывочные операции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6"/>
              </w:rPr>
              <w:t xml:space="preserve">Тепловыделения от поверхностей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Температура поверхности изоляции не выше 45 °C</w:t>
            </w:r>
          </w:p>
        </w:tc>
        <w:tc>
          <w:tcPr>
            <w:tcW w:w="1100" w:type="dxa"/>
          </w:tcPr>
          <w:p>
            <w:r>
              <w:rPr>
                <w:sz w:val="16"/>
              </w:rPr>
              <w:t xml:space="preserve">—</w:t>
            </w:r>
          </w:p>
        </w:tc>
        <w:tc>
          <w:tcPr>
            <w:tcW w:w="4204" w:type="dxa"/>
          </w:tcPr>
          <w:p>
            <w:r>
              <w:rPr>
                <w:sz w:val="16"/>
              </w:rPr>
              <w:t xml:space="preserve">СП 61.13330.2012 — требование для обслуживаемых зон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4.2 Ведомость источников выделений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400"/>
        <w:gridCol w:w="2500"/>
        <w:gridCol w:w="1400"/>
        <w:gridCol w:w="1750"/>
        <w:gridCol w:w="2304"/>
      </w:tblGrid>
      <w:tr>
        <w:trPr>
          <w:tblHeader/>
          <w:cantSplit/>
        </w:trPr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Вещество или фактор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выделения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</w:t>
            </w:r>
          </w:p>
        </w:tc>
        <w:tc>
          <w:tcPr>
            <w:tcW w:w="1750" w:type="dxa"/>
            <w:shd w:val="clear" w:fill="EFEFEF"/>
          </w:tcPr>
          <w:p>
            <w:r>
              <w:rPr>
                <w:b/>
                <w:sz w:val="15"/>
              </w:rPr>
              <w:t xml:space="preserve">Оценка</w:t>
            </w:r>
          </w:p>
        </w:tc>
        <w:tc>
          <w:tcPr>
            <w:tcW w:w="2304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Требования к местным отсосам и аспирации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Пыль кристаллогидрата (соли меди и никеля)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Зона выгрузки фильтрующих центрифуг (4 машины), узел фасовки смешанного купороса в биг-беги, узел пробоотбора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Периодический — цикл выгрузки центрифуги, операции фасовки и пробоотбора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Количественные выделения — по данным изготовителя узла фасовки; предварительно по аналогам. Остаточная влажность продукта 4–6 %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Укрытия зоны выгрузки центрифуг с местным отсосом; аспирация узла фасовки с фильтром в комплекте узла (в границах поставки лота); герметичные тракты соли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Аэрозоль серной кислоты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Смотровые и ревизионные люки аппаратов, точки пробоотбора растворов, разъёмные соединения, приямки сбора проливов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Периодический — при обслуживании и пробоотборе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Аппаратный контур герметичен и работает под разрежением, постоянных выделений из аппаратов нет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Местные отсосы от пробоотборных шкафов и от люков на время обслуживания; вывод дыхательных линий баков на организованный отсос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Пары воды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Открытые зеркала воды в гидрозатворах барометрических труб (около 27,5 °C), приямки сбора проливов, промывочные операции при остановках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Постоянный; при промывках — периодический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Определяется на стадии БИ по площади открытых поверхностей и температуре зеркал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Местная вытяжка из приямков гидрозатворов; общеобменная вентиляция зоны выпарки с учётом влаговыделений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Тепло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Изолированные корпуса испарителей I ступеней, выносные подогреватели, паропроводы, обогреваемые баки маточника и репульпатор растворения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100–110 кВт в объём помещений участка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Тепловая изоляция с ограничением температуры доступных поверхностей 45 °C; общеобменная вентиляция</w:t>
            </w:r>
          </w:p>
        </w:tc>
      </w:tr>
      <w:tr>
        <w:trPr>
          <w:cantSplit/>
        </w:trPr>
        <w:tc>
          <w:tcPr>
            <w:tcW w:w="1400" w:type="dxa"/>
          </w:tcPr>
          <w:p>
            <w:r>
              <w:rPr>
                <w:sz w:val="16"/>
              </w:rPr>
              <w:t xml:space="preserve">Шум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Фильтрующие центрифуги с частотой вращения 1 800 об/мин, циркуляционные насосы, водокольцевые вакуум-насосы</w:t>
            </w:r>
          </w:p>
        </w:tc>
        <w:tc>
          <w:tcPr>
            <w:tcW w:w="1400" w:type="dxa"/>
          </w:tcPr>
          <w:p>
            <w:r>
              <w:rPr>
                <w:sz w:val="16"/>
              </w:rPr>
              <w:t xml:space="preserve">Постоянный</w:t>
            </w:r>
          </w:p>
        </w:tc>
        <w:tc>
          <w:tcPr>
            <w:tcW w:w="1750" w:type="dxa"/>
          </w:tcPr>
          <w:p>
            <w:r>
              <w:rPr>
                <w:sz w:val="16"/>
              </w:rPr>
              <w:t xml:space="preserve">Уровни — по опросным листам изготовителей</w:t>
            </w:r>
          </w:p>
        </w:tc>
        <w:tc>
          <w:tcPr>
            <w:tcW w:w="2304" w:type="dxa"/>
          </w:tcPr>
          <w:p>
            <w:r>
              <w:rPr>
                <w:sz w:val="16"/>
              </w:rPr>
              <w:t xml:space="preserve">Кожухи и виброизоляция при необходимости; центрифуги устанавливаются на индивидуальных виброизолированных фундаментах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4.3 Влаговыделения</w:t>
      </w:r>
    </w:p>
    <w:p>
      <w:r>
        <w:rPr>
          <w:sz w:val="20"/>
        </w:rPr>
        <w:t xml:space="preserve">Влаговыделения — определяющий фактор при расчёте вентиляции зоны выпарки. Аппаратный контур герметичен и работает под разрежением, поэтому соковый пар в помещение не поступает: он конденсируется в барометрических конденсаторах и конденсаторах пароэжекторных блоков. Источники влаги в помещении — открытые зеркала воды в гидрозатворах барометрических труб при температуре около 27,5 °C, приямки сбора проливов, промывочные операции при плановых остановках и остаточная влажность продукта 4–6 % на узлах фугования и фасовки. Количественная оценка выполняется на стадии БИ после фиксации компоновки приямков и площадей открытых зеркал.</w:t>
      </w:r>
    </w:p>
    <w:p>
      <w:pPr>
        <w:pStyle w:val="Heading2"/>
      </w:pPr>
      <w:r>
        <w:rPr>
          <w:b/>
          <w:sz w:val="24"/>
        </w:rPr>
        <w:t xml:space="preserve">4.4 Вещества, отсутствующие в выделениях лота</w:t>
      </w:r>
    </w:p>
    <w:p>
      <w:r>
        <w:rPr>
          <w:sz w:val="20"/>
        </w:rPr>
        <w:t xml:space="preserve">В выделениях участка отсутствуют диоксид серы и иные кислые газы: процесс низкотемпературный, растворы не разлагаются, залповые выделения технологией исключены — срыв вакуума прекращает испарение, а гидрозатворы удерживают столб жидкости. Горючие и взрывоопасные вещества в технологии не применяются, среды негорючие водные.</w:t>
      </w:r>
    </w:p>
    <w:p>
      <w:pPr>
        <w:pStyle w:val="Heading1"/>
      </w:pPr>
      <w:r>
        <w:rPr>
          <w:b/>
          <w:sz w:val="28"/>
        </w:rPr>
        <w:t xml:space="preserve">5. Требования к укрытиям, местным отсосам и аспирации</w:t>
      </w:r>
    </w:p>
    <w:p>
      <w:pPr>
        <w:pStyle w:val="Heading2"/>
      </w:pPr>
      <w:r>
        <w:rPr>
          <w:b/>
          <w:sz w:val="24"/>
        </w:rPr>
        <w:t xml:space="preserve">5.1 Принцип локализации выделений</w:t>
      </w:r>
    </w:p>
    <w:p>
      <w:r>
        <w:rPr>
          <w:sz w:val="20"/>
        </w:rPr>
        <w:t xml:space="preserve">Локализация выделений выполняется в первую очередь укрытиями и местными отсосами в местах образования, и только оставшаяся часть выделений ассимилируется общеобменной вентиляцией. Требования к укрытиям формируются Базовым инжинирингом и транслируются в опросные листы и технические условия поставки оборудования; расчёт производительности отсосов и подбор вентиляционного оборудования выполняет смежный проектировщик по настоящим данным.</w:t>
      </w:r>
    </w:p>
    <w:p>
      <w:r>
        <w:rPr>
          <w:sz w:val="20"/>
        </w:rPr>
        <w:t xml:space="preserve">Общие требования к укрытиям: конструкция укрытия обеспечивает разрежение в объёме укрытия при всех режимах работы оборудования; присоединительные патрубки и места подключения воздуховодов назначаются изготовителем оборудования и фиксируются в опросных листах; укрытия не препятствуют обслуживанию, осмотру и ремонту; съёмные элементы фиксируются и имеют уплотнения; воздуховоды выполняются с уклоном и ревизиями, а на участках с влажным или агрессивным воздухом — с дренажом конденсата.</w:t>
      </w:r>
    </w:p>
    <w:p>
      <w:pPr>
        <w:pStyle w:val="Heading2"/>
      </w:pPr>
      <w:r>
        <w:rPr>
          <w:b/>
          <w:sz w:val="24"/>
        </w:rPr>
        <w:t xml:space="preserve">5.2 Перечень укрытий и местных отсосов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500"/>
        <w:gridCol w:w="2500"/>
        <w:gridCol w:w="2300"/>
        <w:gridCol w:w="2054"/>
      </w:tblGrid>
      <w:tr>
        <w:trPr>
          <w:tblHeader/>
          <w:cantSplit/>
        </w:trPr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Узел (оборудование)</w:t>
            </w:r>
          </w:p>
        </w:tc>
        <w:tc>
          <w:tcPr>
            <w:tcW w:w="2500" w:type="dxa"/>
            <w:shd w:val="clear" w:fill="EFEFEF"/>
          </w:tcPr>
          <w:p>
            <w:r>
              <w:rPr>
                <w:b/>
                <w:sz w:val="15"/>
              </w:rPr>
              <w:t xml:space="preserve">Тип укрытия и отсоса</w:t>
            </w:r>
          </w:p>
        </w:tc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Назначение</w:t>
            </w:r>
          </w:p>
        </w:tc>
        <w:tc>
          <w:tcPr>
            <w:tcW w:w="2054" w:type="dxa"/>
            <w:shd w:val="clear" w:fill="EFEFEF"/>
          </w:tcPr>
          <w:p>
            <w:r>
              <w:rPr>
                <w:b/>
                <w:sz w:val="15"/>
              </w:rPr>
              <w:t xml:space="preserve">Граница поставки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Фильтрующие центрифуги с пульсирующей выгрузкой (4 машины)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Укрытие зоны выгрузки с местным отсосом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пыли кристаллогидрата при выгрузке и промывке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№2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Узел фасовки смешанного купороса в биг-беги с полиэтиленовым вкладышем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Укрытие узла налива с аспирацией и фильтром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пыли солей меди и никеля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№2, в комплекте узла фасовки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Узлы пробоотбора продукта и растворов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Пробоотборные шкафы с местным отсосом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пыли и аэрозоля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№2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Смотровые и ревизионные люки аппаратов, разъёмные соединения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Стационарные или переносные отсосы на время обслуживания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Локализация аэрозоля серной кислоты при вскрытии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Гидрозатворы барометрических труб и приямки сбора проливов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Местная вытяжка из приямка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Удаление влаго- и аэрозолевыделений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Определяется на стадии БИ</w:t>
            </w:r>
          </w:p>
        </w:tc>
      </w:tr>
      <w:tr>
        <w:trPr>
          <w:cantSplit/>
        </w:trPr>
        <w:tc>
          <w:tcPr>
            <w:tcW w:w="2500" w:type="dxa"/>
          </w:tcPr>
          <w:p>
            <w:r>
              <w:rPr>
                <w:sz w:val="16"/>
              </w:rPr>
              <w:t xml:space="preserve">Дыхательные линии баков маточника, репульпаторов и баков растворения</w:t>
            </w:r>
          </w:p>
        </w:tc>
        <w:tc>
          <w:tcPr>
            <w:tcW w:w="2500" w:type="dxa"/>
          </w:tcPr>
          <w:p>
            <w:r>
              <w:rPr>
                <w:sz w:val="16"/>
              </w:rPr>
              <w:t xml:space="preserve">Вывод дыхательных линий на организованный отсос либо в аппаратный контур</w:t>
            </w:r>
          </w:p>
        </w:tc>
        <w:tc>
          <w:tcPr>
            <w:tcW w:w="2300" w:type="dxa"/>
          </w:tcPr>
          <w:p>
            <w:r>
              <w:rPr>
                <w:sz w:val="16"/>
              </w:rPr>
              <w:t xml:space="preserve">Исключение выделений в помещение при заполнении и опорожнении</w:t>
            </w:r>
          </w:p>
        </w:tc>
        <w:tc>
          <w:tcPr>
            <w:tcW w:w="2054" w:type="dxa"/>
          </w:tcPr>
          <w:p>
            <w:r>
              <w:rPr>
                <w:sz w:val="16"/>
              </w:rPr>
              <w:t xml:space="preserve">Лот №2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Очистка аспирационного воздуха</w:t>
      </w:r>
    </w:p>
    <w:p>
      <w:r>
        <w:rPr>
          <w:sz w:val="20"/>
        </w:rPr>
        <w:t xml:space="preserve">Аспирационный воздух узла фасовки очищается в фильтре, входящем в комплект узла; данные о концентрациях до и после очистки принимаются по паспорту фильтра и по аналогам. Выхлопы водокольцевых вакуум-насосов пароэжекторных блоков (2 шт.) содержат воздух подсосов и остаточный водяной пар после двух ступеней конденсации; кислые компоненты улавливаются конденсацией и водяным кольцом насосов, унос направляется в кислую оборотную воду. Количество выхлопа равно подсосам воздуха и определяется расчётом герметичности вакуумной системы на стадии БИ.</w:t>
      </w:r>
    </w:p>
    <w:p>
      <w:pPr>
        <w:pStyle w:val="Heading1"/>
      </w:pPr>
      <w:r>
        <w:rPr>
          <w:b/>
          <w:sz w:val="28"/>
        </w:rPr>
        <w:t xml:space="preserve">6. Исходные данные для раздела отопления и вентиляции</w:t>
      </w:r>
    </w:p>
    <w:p>
      <w:pPr>
        <w:pStyle w:val="Heading2"/>
      </w:pPr>
      <w:r>
        <w:rPr>
          <w:b/>
          <w:sz w:val="24"/>
        </w:rPr>
        <w:t xml:space="preserve">6.1 Характеристика помещений</w:t>
      </w:r>
    </w:p>
    <w:p>
      <w:r>
        <w:rPr>
          <w:sz w:val="20"/>
        </w:rPr>
        <w:t xml:space="preserve">Категории помещений по взрывопожарной и пожарной опасности приняты предварительно и подтверждаются расчётом по СП 12.13130.2009 после фиксации состава оборудования и объёмов горючих материалов. Расчётные параметры внутреннего воздуха, не заданные исходными данными, назначаются смежным разделом по категории работ.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1350"/>
        <w:gridCol w:w="3200"/>
        <w:gridCol w:w="2604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Помещение (зона)</w:t>
            </w:r>
          </w:p>
        </w:tc>
        <w:tc>
          <w:tcPr>
            <w:tcW w:w="1350" w:type="dxa"/>
            <w:shd w:val="clear" w:fill="EFEFEF"/>
          </w:tcPr>
          <w:p>
            <w:r>
              <w:rPr>
                <w:b/>
                <w:sz w:val="15"/>
              </w:rPr>
              <w:t xml:space="preserve">Категория по СП 12.13130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Характеристика среды</w:t>
            </w:r>
          </w:p>
        </w:tc>
        <w:tc>
          <w:tcPr>
            <w:tcW w:w="2604" w:type="dxa"/>
            <w:shd w:val="clear" w:fill="EFEFEF"/>
          </w:tcPr>
          <w:p>
            <w:r>
              <w:rPr>
                <w:b/>
                <w:sz w:val="15"/>
              </w:rPr>
              <w:t xml:space="preserve">Особенности режима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Зона выпарки (этажерка и отметка 0,000)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Д — предварительно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Мокрый процесс, негорючие водные среды; влаговыделения; аэрозоль серной кислоты при обслуживании; полы кислотостойкие с бортиками и трапами в сборные приямки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Круглосуточный; определяющее — удаление влаговыделений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Зона фугования (фильтрующие центрифуги)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Д — предварительно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Пыль кристаллогидрата при выгрузке; повышенная влажность; кислотостойкие полы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Круглосуточный; определяющее — местные отсосы от укрытий выгрузки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Зона фасовки и склад тары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 расчётом (полимерная тара и вкладыши)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Пыль смешанного купороса; сухая зона; напольный транспорт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Периодический — по циклу фасовки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Помещение вакуум-насосов пароэжекторных блоков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Д — предварительно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Шум; влаговыделения от рабочей жидкости водяного кольца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Круглосуточный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6"/>
              </w:rPr>
              <w:t xml:space="preserve">Приямки гидрозатворов и сбора проливов</w:t>
            </w:r>
          </w:p>
        </w:tc>
        <w:tc>
          <w:tcPr>
            <w:tcW w:w="1350" w:type="dxa"/>
          </w:tcPr>
          <w:p>
            <w:r>
              <w:rPr>
                <w:sz w:val="16"/>
              </w:rPr>
              <w:t xml:space="preserve">Уточняется расчётом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Кислые растворы, влаговыделения; кислотостойкое исполнение по СП 28.13330</w:t>
            </w:r>
          </w:p>
        </w:tc>
        <w:tc>
          <w:tcPr>
            <w:tcW w:w="2604" w:type="dxa"/>
          </w:tcPr>
          <w:p>
            <w:r>
              <w:rPr>
                <w:sz w:val="16"/>
              </w:rPr>
              <w:t xml:space="preserve">Постоянно; местная вытяжка, контроль перед спуском персонала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 Требования к системам отопления и вентиляции</w:t>
      </w:r>
    </w:p>
    <w:p>
      <w:r>
        <w:rPr>
          <w:sz w:val="20"/>
        </w:rPr>
        <w:t xml:space="preserve">— Ассимиляция теплоизбытков зоны выпарки: расчётная тепловая нагрузка 100–110 кВт.</w:t>
      </w:r>
    </w:p>
    <w:p>
      <w:r>
        <w:rPr>
          <w:sz w:val="20"/>
        </w:rPr>
        <w:t xml:space="preserve">— Удаление влаговыделений зоны выпарки — определяющий фактор расчёта воздухообмена; источники и площади открытых зеркал приведены в разделе влаговыделений.</w:t>
      </w:r>
    </w:p>
    <w:p>
      <w:r>
        <w:rPr>
          <w:sz w:val="20"/>
        </w:rPr>
        <w:t xml:space="preserve">— Местные отсосы от укрытий выгрузки центрифуг и от узла фасовки; аспирация узла фасовки с фильтром входит в комплект узла и в границы поставки лота.</w:t>
      </w:r>
    </w:p>
    <w:p>
      <w:r>
        <w:rPr>
          <w:sz w:val="20"/>
        </w:rPr>
        <w:t xml:space="preserve">— Раздельные системы сухой зоны фасовки и склада тары и влажной зоны выпарки и фугования; исключение перетоков влажного кислого воздуха в сухую зону.</w:t>
      </w:r>
    </w:p>
    <w:p>
      <w:r>
        <w:rPr>
          <w:sz w:val="20"/>
        </w:rPr>
        <w:t xml:space="preserve">— Местная вытяжка из приямков гидрозатворов и сбора проливов; контроль воздуха перед допуском персонала в приямки.</w:t>
      </w:r>
    </w:p>
    <w:p>
      <w:r>
        <w:rPr>
          <w:sz w:val="20"/>
        </w:rPr>
        <w:t xml:space="preserve">— Исполнение вентиляционного оборудования и воздуховодов влажной зоны — коррозионностойкое, с учётом присутствия аэрозоля серной кислоты и кислой оборотной воды с содержанием серной кислоты до 0,5 г/л.</w:t>
      </w:r>
    </w:p>
    <w:p>
      <w:r>
        <w:rPr>
          <w:sz w:val="20"/>
        </w:rPr>
        <w:t xml:space="preserve">— Отопление и воздушно-тепловые завесы ворот — по общим для площадки климатическим параметрам.</w:t>
      </w:r>
    </w:p>
    <w:p>
      <w:pPr>
        <w:pStyle w:val="Heading2"/>
      </w:pPr>
      <w:r>
        <w:rPr>
          <w:b/>
          <w:sz w:val="24"/>
        </w:rPr>
        <w:t xml:space="preserve">6.3 Состав передаваемых данных</w:t>
      </w:r>
    </w:p>
    <w:p>
      <w:r>
        <w:rPr>
          <w:sz w:val="20"/>
        </w:rPr>
        <w:t xml:space="preserve">В раздел отопления и вентиляции передаются следующие материалы настоящего документа. Передача выполняется в составе выпуска Ревизии 0 и повторяется итерацией после получения технических предложений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100"/>
        <w:gridCol w:w="6254"/>
      </w:tblGrid>
      <w:tr>
        <w:trPr>
          <w:tblHeader/>
          <w:cantSplit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5"/>
              </w:rPr>
              <w:t xml:space="preserve">Материал</w:t>
            </w:r>
          </w:p>
        </w:tc>
        <w:tc>
          <w:tcPr>
            <w:tcW w:w="625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Ведомость тепловыделений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Место, источник, величина в киловаттах, характер выделения, источник оценки — по разделу тепловыделений настоящего документа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Перечень контролируемых вредных веществ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Вещество, гигиенический норматив в воздухе рабочей зоны, класс опасности, целевая концентрация — по разделу вредностей настоящего документа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Ведомость источников выделений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Источник, характер выделения, оценка, требования к локализации — по разделу вредностей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Перечень укрытий и местных отсосов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Узел, тип укрытия, назначение, граница поставки — по разделу локализации выделений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Характеристика помещений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Категория по взрывопожарной опасности, характеристика среды, режим работы, расчётные параметры воздуха — по разделу исходных данных для отопления и вентиляции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Влаговыделения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Перечень источников и площадей открытых поверхностей; количественная оценка выполняется на стадии БИ</w:t>
            </w:r>
          </w:p>
        </w:tc>
      </w:tr>
      <w:tr>
        <w:trPr>
          <w:cantSplit/>
        </w:trPr>
        <w:tc>
          <w:tcPr>
            <w:tcW w:w="3100" w:type="dxa"/>
          </w:tcPr>
          <w:p>
            <w:r>
              <w:rPr>
                <w:sz w:val="17"/>
              </w:rPr>
              <w:t xml:space="preserve">Физические факторы</w:t>
            </w:r>
          </w:p>
        </w:tc>
        <w:tc>
          <w:tcPr>
            <w:tcW w:w="6254" w:type="dxa"/>
          </w:tcPr>
          <w:p>
            <w:r>
              <w:rPr>
                <w:sz w:val="17"/>
              </w:rPr>
              <w:t xml:space="preserve">Источники шума, вибрации, теплового облучения и магнитных полей с целевыми показателями — по соответствующему разделу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7. Данные для раздела охраны окружающей среды</w:t>
      </w:r>
    </w:p>
    <w:p>
      <w:pPr>
        <w:pStyle w:val="Heading2"/>
      </w:pPr>
      <w:r>
        <w:rPr>
          <w:b/>
          <w:sz w:val="24"/>
        </w:rPr>
        <w:t xml:space="preserve">7.1 Выбросы в атмосферу</w:t>
      </w:r>
    </w:p>
    <w:p>
      <w:r>
        <w:rPr>
          <w:sz w:val="20"/>
        </w:rPr>
        <w:t xml:space="preserve">Технологический контур участка работает под разрежением, организованных горячих выбросов нет. Источники выбросов: выхлопы двух водокольцевых вакуум-насосов пароэжекторных блоков (несконденсировавшиеся газы — воздух подсосов и остаточный водяной пар после двух ступеней конденсации); аспирационный выброс узла фасовки после фильтра (пыль смешанного купороса — соли меди и никеля); дыхательные линии баков (периодические, малые).</w:t>
      </w:r>
    </w:p>
    <w:p>
      <w:r>
        <w:rPr>
          <w:sz w:val="20"/>
        </w:rPr>
        <w:t xml:space="preserve">Количество выхлопа вакуум-насосов равно подсосам воздуха и определяется расчётом герметичности вакуумной системы на стадии БИ. Данные до и после очистки по аспирации узла фасовки принимаются по опросному листу и паспорту изготовителя. Залповые выбросы технологией исключены: срыв вакуума прекращает испарение, гидрозатворы удерживают столб жидкости. Режим работы источников — 8 322 ч в году.</w:t>
      </w:r>
    </w:p>
    <w:p>
      <w:pPr>
        <w:pStyle w:val="Heading2"/>
      </w:pPr>
      <w:r>
        <w:rPr>
          <w:b/>
          <w:sz w:val="24"/>
        </w:rPr>
        <w:t xml:space="preserve">7.2 Прочие среды воздействия</w:t>
      </w:r>
    </w:p>
    <w:p>
      <w:r>
        <w:rPr>
          <w:sz w:val="20"/>
        </w:rPr>
        <w:t xml:space="preserve">По прочим средам воздействия: постоянных сбросов в водные объекты и канализацию участок не имеет — контур кислой оборотной воды замкнут через градирню, профицит воды около 4,7 м³/ч отсекается в производство как оборотная вода, периодические воды промывок и опорожнений возвращаются в технологию. Смешанный купорос является товарной продукцией, а не отходом. Расходные отходы: отработанные фильтровальные элементы и сита центрифуг, брак тары, шлам зачистки аппаратов при плановых ремонтах.</w:t>
      </w:r>
    </w:p>
    <w:p>
      <w:r>
        <w:rPr>
          <w:color w:val="555555"/>
          <w:sz w:val="18"/>
        </w:rPr>
        <w:t xml:space="preserve">Расчёт рассеивания, нормативы допустимых выбросов и разделы охраны окружающей среды проектной документации выполняются генеральным проектировщиком; настоящий документ передаёт для них предварительные расчётные данные по балансам лота.</w:t>
      </w:r>
    </w:p>
    <w:p>
      <w:pPr>
        <w:pStyle w:val="Heading1"/>
      </w:pPr>
      <w:r>
        <w:rPr>
          <w:b/>
          <w:sz w:val="28"/>
        </w:rPr>
        <w:t xml:space="preserve">8. Физические факторы и контроль воздуха рабочей зоны</w:t>
      </w:r>
    </w:p>
    <w:p>
      <w:pPr>
        <w:pStyle w:val="Heading2"/>
      </w:pPr>
      <w:r>
        <w:rPr>
          <w:b/>
          <w:sz w:val="24"/>
        </w:rPr>
        <w:t xml:space="preserve">8.1 Физические факторы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1700"/>
        <w:gridCol w:w="3200"/>
        <w:gridCol w:w="2100"/>
        <w:gridCol w:w="2354"/>
      </w:tblGrid>
      <w:tr>
        <w:trPr>
          <w:tblHeader/>
          <w:cantSplit/>
        </w:trPr>
        <w:tc>
          <w:tcPr>
            <w:tcW w:w="1700" w:type="dxa"/>
            <w:shd w:val="clear" w:fill="EFEFEF"/>
          </w:tcPr>
          <w:p>
            <w:r>
              <w:rPr>
                <w:b/>
                <w:sz w:val="15"/>
              </w:rPr>
              <w:t xml:space="preserve">Фактор</w:t>
            </w:r>
          </w:p>
        </w:tc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Целевой показатель</w:t>
            </w:r>
          </w:p>
        </w:tc>
        <w:tc>
          <w:tcPr>
            <w:tcW w:w="23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Шум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Фильтрующие центрифуги 1 800 об/мин, циркуляционные насосы, водокольцевые вакуум-насосы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По нормам для рабочих мест; уровни — по опросным листам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ГОСТ 12.1.003-2014; СанПиН 1.2.3685-21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Вибрация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Фильтрующие центрифуги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По нормам для рабочих мест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ГОСТ 12.1.012-2004; центрифуги на индивидуальных виброизолированных фундаментах</w:t>
            </w:r>
          </w:p>
        </w:tc>
      </w:tr>
      <w:tr>
        <w:trPr>
          <w:cantSplit/>
        </w:trPr>
        <w:tc>
          <w:tcPr>
            <w:tcW w:w="1700" w:type="dxa"/>
          </w:tcPr>
          <w:p>
            <w:r>
              <w:rPr>
                <w:sz w:val="16"/>
              </w:rPr>
              <w:t xml:space="preserve">Тепловое облучение</w:t>
            </w:r>
          </w:p>
        </w:tc>
        <w:tc>
          <w:tcPr>
            <w:tcW w:w="3200" w:type="dxa"/>
          </w:tcPr>
          <w:p>
            <w:r>
              <w:rPr>
                <w:sz w:val="16"/>
              </w:rPr>
              <w:t xml:space="preserve">Изолированные поверхности аппаратов и паропроводов</w:t>
            </w:r>
          </w:p>
        </w:tc>
        <w:tc>
          <w:tcPr>
            <w:tcW w:w="2100" w:type="dxa"/>
          </w:tcPr>
          <w:p>
            <w:r>
              <w:rPr>
                <w:sz w:val="16"/>
              </w:rPr>
              <w:t xml:space="preserve">Температура доступных поверхностей не выше 45 °C</w:t>
            </w:r>
          </w:p>
        </w:tc>
        <w:tc>
          <w:tcPr>
            <w:tcW w:w="2354" w:type="dxa"/>
          </w:tcPr>
          <w:p>
            <w:r>
              <w:rPr>
                <w:sz w:val="16"/>
              </w:rPr>
              <w:t xml:space="preserve">СП 61.13330.2012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8.2 Контроль воздуха рабочей зоны</w:t>
      </w:r>
    </w:p>
    <w:p>
      <w:r>
        <w:rPr>
          <w:sz w:val="20"/>
        </w:rPr>
        <w:t xml:space="preserve">Контроль воздуха рабочей зоны организуется по программе производственного контроля: периодический отбор проб в зонах фугования, фасовки и пробоотбора на содержание солей никеля и меди и аэрозоля серной кислоты, переносной контроль при вскрытии аппаратов и при работах в приямках. Уборка полов влажная, с возвратом смывов в технологию через сборные приямки.</w:t>
      </w:r>
    </w:p>
    <w:p>
      <w:pPr>
        <w:pStyle w:val="Heading1"/>
      </w:pPr>
      <w:r>
        <w:rPr>
          <w:b/>
          <w:sz w:val="28"/>
        </w:rPr>
        <w:t xml:space="preserve">9. Открытые позиции</w:t>
      </w:r>
    </w:p>
    <w:p>
      <w:r>
        <w:rPr>
          <w:sz w:val="20"/>
        </w:rPr>
        <w:t xml:space="preserve">Ниже перечислено то, что на стадии Базового инжиниринга не может быть определено окончательно и требует данных Заказчика, результатов расчётов текущей стадии либо технических предложений изготовителей. Каждая позиция закрывается до выдачи разделов отопления и вентиляции и охраны окружающей среды проектной документации.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Количественные выделения пыли и аэрозолей от узла фасовки и центрифуг — по опросным листам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в раздел отопления и вентиляции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Расчёт подсосов воздуха и количественный состав выхлопа водокольцевых вакуум-насосов до и после конденсации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Данные до и после очистки по аспирации узла фасовки — по опросному листу и паспорту изготовителя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Количественная оценка влаговыделений от гидрозатворов и приямков после фиксации компоновки приямков и площадей открытых зеркал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Тепловыделение водокольцевых вакуум-насосов пароэжекторных блоков — по техническим предложениям изготовителей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l2 tv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