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документа</w:t>
      </w:r>
    </w:p>
    <w:p>
      <w:r>
        <w:rPr>
          <w:sz w:val="20"/>
        </w:rPr>
        <w:t xml:space="preserve">Документ содержит предварительные нагрузки от технологического оборудования Лота №3 «Отделение электроэкстракции» на строительные конструкции и фундаменты и требования к строительной части, необходимые для разработки конструктивных решений. Документ выполняет требования состава Базового инжиниринга «Планы строительных конструкций с нагрузками» и «Планы фундаментов с предварительными нагрузками, включая предварительные динамические нагрузки (с запасом)» (ТЗ на БИ ред. 4.1).</w:t>
      </w:r>
    </w:p>
    <w:p>
      <w:r>
        <w:rPr>
          <w:sz w:val="20"/>
        </w:rPr>
        <w:t xml:space="preserve">Текстовая часть включает ведомость предварительных нагрузок по оборудованию лота, раздел динамических нагрузок, требования к строительной части и перечень характеристик, уточняемых по техническим предложениям изготовителей. Графическая часть — планы на характерных отметках и разрезы с привязкой оборудования к разбивочным осям — выпускается в составе компоновочных решений лота; нагрузки настоящего документа наносятся на эти планы по узлам опирания в форме, приведённой в разделе 7.</w:t>
      </w:r>
    </w:p>
    <w:p>
      <w:r>
        <w:rPr>
          <w:sz w:val="20"/>
        </w:rPr>
        <w:t xml:space="preserve">Базис размещения — новое строительство корпуса 36 × 190 м смежно с участками комплекса (ТЗ ред. 4.1 п. 1.3). Приспособление существующего корпуса электрорафинирования меди металлургического цеха сохранено как резервный сценарий: корпус проектировался под ванны электрорафинирования, суммарная нагрузка сопоставима, но раскладка опор иная, поэтому поверочный расчёт несущих конструкций подванных отметок и подкрановых путей обязателен.</w:t>
      </w:r>
    </w:p>
    <w:p>
      <w:r>
        <w:rPr>
          <w:color w:val="666666"/>
          <w:sz w:val="17"/>
        </w:rPr>
        <w:t xml:space="preserve">Источник: ИД ч.2 (табл. 4.2, п. 4.2.2, приложение В — строительное задание на отделение); ТЗ на БИ ред. 4.1 (п. 1.3 — базис размещения, п. 2.9 — условия площадки); расчётная модель КВАНТ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ОВЭ75-БИ-Л3-ПЗ — Пояснительная записка</w:t>
      </w:r>
    </w:p>
    <w:p>
      <w:r>
        <w:rPr>
          <w:sz w:val="20"/>
        </w:rPr>
        <w:t xml:space="preserve">— ОВЭ75-БИ-Л3-КР — Компоновочные решения (планы, разрезы)</w:t>
      </w:r>
    </w:p>
    <w:p>
      <w:r>
        <w:rPr>
          <w:sz w:val="20"/>
        </w:rPr>
        <w:t xml:space="preserve">— ОВЭ75-БИ-Л3-СО — Спецификация оборудования с техническими характеристиками</w:t>
      </w:r>
    </w:p>
    <w:p>
      <w:r>
        <w:rPr>
          <w:sz w:val="20"/>
        </w:rPr>
        <w:t xml:space="preserve">— ОВЭ75-БИ-Л3-ОЛ — Опросные листы основного оборудования (альбом)</w:t>
      </w:r>
    </w:p>
    <w:p>
      <w:r>
        <w:rPr>
          <w:sz w:val="20"/>
        </w:rPr>
        <w:t xml:space="preserve">— ОВЭ75-БИ-Л3-МТ — Требования к монтажу (включая вес самых тяжёлых частей)</w:t>
      </w:r>
    </w:p>
    <w:p>
      <w:pPr>
        <w:pStyle w:val="Heading2"/>
      </w:pPr>
      <w:r>
        <w:rPr>
          <w:b/>
          <w:sz w:val="24"/>
        </w:rPr>
        <w:t xml:space="preserve">1.2 Стадия достоверности нагрузок</w:t>
      </w:r>
    </w:p>
    <w:p>
      <w:r>
        <w:rPr>
          <w:sz w:val="20"/>
        </w:rPr>
        <w:t xml:space="preserve">Нагрузки настоящего документа предварительные. На стадии Базового инжиниринга часть масс задана исходными данными Заказчика, часть получена расчётом по объёмам и плотностям, часть оценена по геометрии и аналогам, часть изготовителем не задана и определяется после выбора поставщика. Каждая строка ведомости относится к одной из четырёх категорий достоверности; порядок использования значений при проектировании приведён ниже.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100"/>
        <w:gridCol w:w="2700"/>
        <w:gridCol w:w="2400"/>
        <w:gridCol w:w="3154"/>
      </w:tblGrid>
      <w:tr>
        <w:trPr>
          <w:tblHeader/>
          <w:cantSplit/>
        </w:trPr>
        <w:tc>
          <w:tcPr>
            <w:tcW w:w="1100" w:type="dxa"/>
            <w:shd w:val="clear" w:fill="EFEFEF"/>
          </w:tcPr>
          <w:p>
            <w:r>
              <w:rPr>
                <w:b/>
                <w:sz w:val="15"/>
              </w:rPr>
              <w:t xml:space="preserve">Категория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Признак</w:t>
            </w:r>
          </w:p>
        </w:tc>
        <w:tc>
          <w:tcPr>
            <w:tcW w:w="2400" w:type="dxa"/>
            <w:shd w:val="clear" w:fill="EFEFEF"/>
          </w:tcPr>
          <w:p>
            <w:r>
              <w:rPr>
                <w:b/>
                <w:sz w:val="15"/>
              </w:rPr>
              <w:t xml:space="preserve">Использование в расчёте</w:t>
            </w:r>
          </w:p>
        </w:tc>
        <w:tc>
          <w:tcPr>
            <w:tcW w:w="3154" w:type="dxa"/>
            <w:shd w:val="clear" w:fill="EFEFEF"/>
          </w:tcPr>
          <w:p>
            <w:r>
              <w:rPr>
                <w:b/>
                <w:sz w:val="15"/>
              </w:rPr>
              <w:t xml:space="preserve">Порядок уточнения</w:t>
            </w:r>
          </w:p>
        </w:tc>
      </w:tr>
      <w:tr>
        <w:trPr>
          <w:cantSplit/>
        </w:trPr>
        <w:tc>
          <w:tcPr>
            <w:tcW w:w="1100" w:type="dxa"/>
          </w:tcPr>
          <w:p>
            <w:r>
              <w:rPr>
                <w:sz w:val="17"/>
              </w:rPr>
              <w:t xml:space="preserve">А</w:t>
            </w:r>
          </w:p>
        </w:tc>
        <w:tc>
          <w:tcPr>
            <w:tcW w:w="2700" w:type="dxa"/>
          </w:tcPr>
          <w:p>
            <w:r>
              <w:rPr>
                <w:sz w:val="17"/>
              </w:rPr>
              <w:t xml:space="preserve">Масса или нагрузка задана исходными данными Заказчика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 xml:space="preserve">Принимается в расчёт без изменения</w:t>
            </w:r>
          </w:p>
        </w:tc>
        <w:tc>
          <w:tcPr>
            <w:tcW w:w="3154" w:type="dxa"/>
          </w:tcPr>
          <w:p>
            <w:r>
              <w:rPr>
                <w:sz w:val="17"/>
              </w:rPr>
              <w:t xml:space="preserve">Уточняется при выдаче конструкторской документации изготовителя</w:t>
            </w:r>
          </w:p>
        </w:tc>
      </w:tr>
      <w:tr>
        <w:trPr>
          <w:cantSplit/>
        </w:trPr>
        <w:tc>
          <w:tcPr>
            <w:tcW w:w="1100" w:type="dxa"/>
          </w:tcPr>
          <w:p>
            <w:r>
              <w:rPr>
                <w:sz w:val="17"/>
              </w:rPr>
              <w:t xml:space="preserve">Б</w:t>
            </w:r>
          </w:p>
        </w:tc>
        <w:tc>
          <w:tcPr>
            <w:tcW w:w="2700" w:type="dxa"/>
          </w:tcPr>
          <w:p>
            <w:r>
              <w:rPr>
                <w:sz w:val="17"/>
              </w:rPr>
              <w:t xml:space="preserve">Нагрузка получена расчётом по объёму, плотности и уровню заполнения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 xml:space="preserve">Принимается в расчёт как предварительная</w:t>
            </w:r>
          </w:p>
        </w:tc>
        <w:tc>
          <w:tcPr>
            <w:tcW w:w="3154" w:type="dxa"/>
          </w:tcPr>
          <w:p>
            <w:r>
              <w:rPr>
                <w:sz w:val="17"/>
              </w:rPr>
              <w:t xml:space="preserve">Уточняется по фактическим плотностям и уровням заполнения на стадии БИ</w:t>
            </w:r>
          </w:p>
        </w:tc>
      </w:tr>
      <w:tr>
        <w:trPr>
          <w:cantSplit/>
        </w:trPr>
        <w:tc>
          <w:tcPr>
            <w:tcW w:w="1100" w:type="dxa"/>
          </w:tcPr>
          <w:p>
            <w:r>
              <w:rPr>
                <w:sz w:val="17"/>
              </w:rPr>
              <w:t xml:space="preserve">В</w:t>
            </w:r>
          </w:p>
        </w:tc>
        <w:tc>
          <w:tcPr>
            <w:tcW w:w="2700" w:type="dxa"/>
          </w:tcPr>
          <w:p>
            <w:r>
              <w:rPr>
                <w:sz w:val="17"/>
              </w:rPr>
              <w:t xml:space="preserve">Предварительная оценка Исполнителя по геометрии и аналогам; задана диапазоном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 xml:space="preserve">Принимается верхняя граница диапазона</w:t>
            </w:r>
          </w:p>
        </w:tc>
        <w:tc>
          <w:tcPr>
            <w:tcW w:w="3154" w:type="dxa"/>
          </w:tcPr>
          <w:p>
            <w:r>
              <w:rPr>
                <w:sz w:val="17"/>
              </w:rPr>
              <w:t xml:space="preserve">Уточняется по опросным листам и техническим предложениям</w:t>
            </w:r>
          </w:p>
        </w:tc>
      </w:tr>
      <w:tr>
        <w:trPr>
          <w:cantSplit/>
        </w:trPr>
        <w:tc>
          <w:tcPr>
            <w:tcW w:w="1100" w:type="dxa"/>
          </w:tcPr>
          <w:p>
            <w:r>
              <w:rPr>
                <w:sz w:val="17"/>
              </w:rPr>
              <w:t xml:space="preserve">Г</w:t>
            </w:r>
          </w:p>
        </w:tc>
        <w:tc>
          <w:tcPr>
            <w:tcW w:w="2700" w:type="dxa"/>
          </w:tcPr>
          <w:p>
            <w:r>
              <w:rPr>
                <w:sz w:val="17"/>
              </w:rPr>
              <w:t xml:space="preserve">Характеристика изготовителем не задана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 xml:space="preserve">Резервируются место установки и предельная масса</w:t>
            </w:r>
          </w:p>
        </w:tc>
        <w:tc>
          <w:tcPr>
            <w:tcW w:w="3154" w:type="dxa"/>
          </w:tcPr>
          <w:p>
            <w:r>
              <w:rPr>
                <w:sz w:val="17"/>
              </w:rPr>
              <w:t xml:space="preserve">Вносится по ТКП при выдаче строительного задания</w:t>
            </w:r>
          </w:p>
        </w:tc>
      </w:tr>
    </w:tbl>
    <w:p>
      <w:r>
        <w:rPr>
          <w:sz w:val="20"/>
        </w:rPr>
        <w:t xml:space="preserve">Общее правило выпуска: там, где значение задано диапазоном, в расчёт конструкций принимается верхняя граница диапазона; там, где значение не задано, в планах резервируются место установки и предельная масса, а расчёт выполняется повторно после получения данных изготовителя. Коэффициенты надёжности по нагрузке и сочетания принимаются по СП 20.13330: для оборудования с известной массой 1,05–1,2, для жидкости 1,2.</w:t>
      </w:r>
    </w:p>
    <w:p>
      <w:r>
        <w:rPr>
          <w:color w:val="555555"/>
          <w:sz w:val="18"/>
        </w:rPr>
        <w:t xml:space="preserve">Записи в графах ведомости: «по ТКП изготовителя» — характеристика в исходных данных не задана и уточняется по техническому предложению; «определяется на стадии БИ» — значение дают расчёты и решения текущей стадии; знак «—» — характеристика к позиции не применима.</w:t>
      </w:r>
    </w:p>
    <w:p>
      <w:pPr>
        <w:pStyle w:val="Heading2"/>
      </w:pPr>
      <w:r>
        <w:rPr>
          <w:b/>
          <w:sz w:val="24"/>
        </w:rPr>
        <w:t xml:space="preserve">1.3 Нормативная база расчёта нагрузок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6654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Документ</w:t>
            </w:r>
          </w:p>
        </w:tc>
        <w:tc>
          <w:tcPr>
            <w:tcW w:w="6654" w:type="dxa"/>
            <w:shd w:val="clear" w:fill="EFEFEF"/>
          </w:tcPr>
          <w:p>
            <w:r>
              <w:rPr>
                <w:b/>
                <w:sz w:val="15"/>
              </w:rPr>
              <w:t xml:space="preserve">Область применения в расчёте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20.13330.2016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Нагрузки и воздействия: сочетания, крановые динамические коэффициенты, снег V/ветер II районов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14.13330.2018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Строительство в сейсмических районах (6 баллов)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28.13330.2017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Химзащита фундаментов и подванных конструкций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ГОСТ 34467-2018 / ФНП № 461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Краны мостовые: группы режимов, требования безопасности (номер ГОСТ уточняется)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29.13330.2011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Полы: уклоны, зумпфы, химстойкие покрытия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ГОСТ 961-89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Плитки кислотоупорные и термокислотоупорные керамические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72.13330.2016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Производство и приёмка работ по антикоррозионной защите (скрытые слои)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ПУЭ (изд. 7), разд. 7.10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Изоляция ванн от строительных конструкций, контроль блуждающих токов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2. Климатические, сейсмические и температурные воздействия</w:t>
      </w:r>
    </w:p>
    <w:p>
      <w:r>
        <w:rPr>
          <w:sz w:val="20"/>
        </w:rPr>
        <w:t xml:space="preserve">Условия площадки — промышленная площадка в городе Мончегорске Мурманской области — общие для всех лотов комплекса и принимаются по Техническому заданию и исходным данным Заказчика.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500"/>
        <w:gridCol w:w="5400"/>
        <w:gridCol w:w="1454"/>
      </w:tblGrid>
      <w:tr>
        <w:trPr>
          <w:tblHeader/>
          <w:cantSplit/>
        </w:trPr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Воздействие, условие</w:t>
            </w:r>
          </w:p>
        </w:tc>
        <w:tc>
          <w:tcPr>
            <w:tcW w:w="5400" w:type="dxa"/>
            <w:shd w:val="clear" w:fill="EFEFEF"/>
          </w:tcPr>
          <w:p>
            <w:r>
              <w:rPr>
                <w:b/>
                <w:sz w:val="15"/>
              </w:rPr>
              <w:t xml:space="preserve">Значение</w:t>
            </w:r>
          </w:p>
        </w:tc>
        <w:tc>
          <w:tcPr>
            <w:tcW w:w="14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Снеговая нагрузка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V снеговой район, S₀ = 3,2 кПа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2.9.3–2.9.4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Ветровая нагрузка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II ветровой район, W₀ = 0,30 кПа; зарегистрированный порыв 33 м/с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2.9.3–2.9.4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Сейсмичность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6 баллов по ОСР-2015-В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2.9.4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Температура наружного воздуха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Наиболее холодная пятидневка −34 °C (обеспеченность 0,98) и −30 °C (0,92); наиболее холодные сутки −40 °C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Отопительный период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271 сут при средней температуре −4,5 °C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Строительно-климатическая зона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IIА, субарктический климат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Грунтовые условия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Особые условия (мерзлота, просадочность, карст) не выявлены; инженерно-геологические изыскания пятна застройки — в составе БИ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2.9.6</w:t>
            </w:r>
          </w:p>
        </w:tc>
      </w:tr>
    </w:tbl>
    <w:p>
      <w:r>
        <w:rPr>
          <w:sz w:val="20"/>
        </w:rPr>
        <w:t xml:space="preserve">Снеговая и ветровая нагрузки учитываются при проверке покрытия, в том числе при устройстве новых проёмов под воздуховоды аспирации ванн. Сейсмическое воздействие 6 баллов учитывается антисейсмическими упорами опор ванн (требование строительного задания поставщика ванн) и проверкой по СП 14.13330.2018.</w:t>
      </w:r>
    </w:p>
    <w:p>
      <w:pPr>
        <w:pStyle w:val="Heading1"/>
      </w:pPr>
      <w:r>
        <w:rPr>
          <w:b/>
          <w:sz w:val="28"/>
        </w:rPr>
        <w:t xml:space="preserve">3. Ведомость предварительных нагрузок от технологического оборудования</w:t>
      </w:r>
    </w:p>
    <w:p>
      <w:r>
        <w:rPr>
          <w:sz w:val="20"/>
        </w:rPr>
        <w:t xml:space="preserve">Ведомость составлена по перечню основного и вспомогательного технологического оборудования лота. Массы приведены в тоннах: «пустого» — масса оборудования без заполнения, «рабочая» — масса в рабочем состоянии с материалом, раствором или водой. Статическая нагрузка приведена в единицах источника; при отсутствии данных изготовителя указан порядок уточнения. Графа динамической составляющей заполняется для всех позиций: для машин с вращающимися частями — с указанием частоты возмущения, для остальных — с указанием принятого коэффициента динамичности либо отсутствия динамики.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1630"/>
        <w:gridCol w:w="1350"/>
        <w:gridCol w:w="1554"/>
        <w:gridCol w:w="1300"/>
        <w:gridCol w:w="1450"/>
        <w:gridCol w:w="155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5"/>
              </w:rPr>
              <w:t xml:space="preserve">Поз.</w:t>
            </w:r>
          </w:p>
        </w:tc>
        <w:tc>
          <w:tcPr>
            <w:tcW w:w="1630" w:type="dxa"/>
            <w:shd w:val="clear" w:fill="EFEFEF"/>
          </w:tcPr>
          <w:p>
            <w:r>
              <w:rPr>
                <w:b/>
                <w:sz w:val="15"/>
              </w:rPr>
              <w:t xml:space="preserve">Наименование, тип</w:t>
            </w:r>
          </w:p>
        </w:tc>
        <w:tc>
          <w:tcPr>
            <w:tcW w:w="1350" w:type="dxa"/>
            <w:shd w:val="clear" w:fill="EFEFEF"/>
          </w:tcPr>
          <w:p>
            <w:r>
              <w:rPr>
                <w:b/>
                <w:sz w:val="15"/>
              </w:rPr>
              <w:t xml:space="preserve">Отметка, место установки</w:t>
            </w:r>
          </w:p>
        </w:tc>
        <w:tc>
          <w:tcPr>
            <w:tcW w:w="1554" w:type="dxa"/>
            <w:shd w:val="clear" w:fill="EFEFEF"/>
          </w:tcPr>
          <w:p>
            <w:r>
              <w:rPr>
                <w:b/>
                <w:sz w:val="15"/>
              </w:rPr>
              <w:t xml:space="preserve">Масса, т: пустого / рабочая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5"/>
              </w:rPr>
              <w:t xml:space="preserve">Тип опирания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5"/>
              </w:rPr>
              <w:t xml:space="preserve">Статическая нагрузка</w:t>
            </w:r>
          </w:p>
        </w:tc>
        <w:tc>
          <w:tcPr>
            <w:tcW w:w="1550" w:type="dxa"/>
            <w:shd w:val="clear" w:fill="EFEFEF"/>
          </w:tcPr>
          <w:p>
            <w:r>
              <w:rPr>
                <w:b/>
                <w:sz w:val="15"/>
              </w:rPr>
              <w:t xml:space="preserve">Динамическая составляющая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Электролиз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Электролизная ванна</w:t>
            </w:r>
          </w:p>
          <w:p>
            <w:r>
              <w:rPr>
                <w:color w:val="666666"/>
                <w:sz w:val="13"/>
              </w:rPr>
              <w:t xml:space="preserve">поз. 4.2.3 по ИД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Подванные конструкции зала; борт +1,0…+1,2 от пола; ряды по 45 ванн, шаг 1,40 м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8,7 (полимербетонный корпус ≈8,8 × 1,5 × 1,8 м)</w:t>
            </w:r>
          </w:p>
          <w:p>
            <w:r>
              <w:rPr>
                <w:sz w:val="14"/>
              </w:rPr>
              <w:t xml:space="preserve">Рабочая: 41,0; при обслуживании до 51,4 (см. примечание 1)</w:t>
            </w:r>
          </w:p>
          <w:p>
            <w:r>
              <w:rPr>
                <w:color w:val="666666"/>
                <w:sz w:val="13"/>
              </w:rPr>
              <w:t xml:space="preserve">Источник: ИД ч.2 прил. В; расчёт КВАНТ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4–6 опорных тумб с двухступенчатой электроизоляцией и антисейсмическими упорами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Эквивалентная 36 кПа (41,0 т на 11,37 м²); при обслуживании до 45 кПа; погонная 29,3 т/м ряда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Собственной нет; кратковременно 8,7 т от закорачивающей рамы на борта соседних ванн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2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Аноды из свинцового сплава</w:t>
            </w:r>
          </w:p>
          <w:p>
            <w:r>
              <w:rPr>
                <w:color w:val="666666"/>
                <w:sz w:val="13"/>
              </w:rPr>
              <w:t xml:space="preserve">Pb-Ca / Pb-Ag сплавы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В ваннах, подвес на бортах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5,525 на ванну (85 шт. по 65 кг)</w:t>
            </w:r>
          </w:p>
          <w:p>
            <w:r>
              <w:rPr>
                <w:sz w:val="14"/>
              </w:rPr>
              <w:t xml:space="preserve">Рабочая: То же</w:t>
            </w:r>
          </w:p>
          <w:p>
            <w:r>
              <w:rPr>
                <w:color w:val="666666"/>
                <w:sz w:val="13"/>
              </w:rPr>
              <w:t xml:space="preserve">Источник: ИД ч.2 прил. В; расчёт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Через борта ванны на опорные тумбы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Учтены в рабочей массе ванны 41,0 т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Нет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3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Катодные матрицы (постоянные катоды)</w:t>
            </w:r>
          </w:p>
          <w:p>
            <w:r>
              <w:rPr>
                <w:color w:val="666666"/>
                <w:sz w:val="13"/>
              </w:rPr>
              <w:t xml:space="preserve">Система SPLIT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В ваннах, подвес на бортах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≈4,2–4,6 на ванну (84 шт. без осадка)</w:t>
            </w:r>
          </w:p>
          <w:p>
            <w:r>
              <w:rPr>
                <w:sz w:val="14"/>
              </w:rPr>
              <w:t xml:space="preserve">Рабочая: 11,592 на ванну с наращённым металлом</w:t>
            </w:r>
          </w:p>
          <w:p>
            <w:r>
              <w:rPr>
                <w:color w:val="666666"/>
                <w:sz w:val="13"/>
              </w:rPr>
              <w:t xml:space="preserve">Источник: ИД ч.2 прил. В; расчёт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Через борта ванны на опорные тумбы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Учтены в рабочей массе ванны 41,0 т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При выгрузке комплекта нагрузка переходит на подкрановые конструкции; см. раздел 4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4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Ошиновка ванн</w:t>
            </w:r>
          </w:p>
          <w:p>
            <w:r>
              <w:rPr>
                <w:color w:val="666666"/>
                <w:sz w:val="13"/>
              </w:rPr>
              <w:t xml:space="preserve">Конструкция с двойным контактом разработки Outotec или аналоги; кол-во: Комплект на 180 ванн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Межванновые сборные шины в зазорах 85 мм; шинные мосты по торцам серий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данным поставщика (медь, ≈42–47 тыс. мм² на серию)</w:t>
            </w:r>
          </w:p>
          <w:p>
            <w:r>
              <w:rPr>
                <w:sz w:val="14"/>
              </w:rPr>
              <w:t xml:space="preserve">Рабочая: То же</w:t>
            </w:r>
          </w:p>
          <w:p>
            <w:r>
              <w:rPr>
                <w:color w:val="666666"/>
                <w:sz w:val="13"/>
              </w:rPr>
              <w:t xml:space="preserve">Источник: ИД ч.2 прил. В; расчёт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На борта ванн через изоляторы; мосты — на самостоятельных опорах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Передаётся на борта ванн и опоры мостов; значения по данным поставщика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Нет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Аспирационные укрытия ванн</w:t>
            </w:r>
          </w:p>
          <w:p>
            <w:r>
              <w:rPr>
                <w:color w:val="666666"/>
                <w:sz w:val="13"/>
              </w:rPr>
              <w:t xml:space="preserve">Бортовой отсос + легкосъёмный колпак; кол-во: 180 комплектов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Колпаки и бортовой отсос на ваннах; сборный воздуховод в межрядном пространстве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данным поставщика</w:t>
            </w:r>
          </w:p>
          <w:p>
            <w:r>
              <w:rPr>
                <w:sz w:val="14"/>
              </w:rPr>
              <w:t xml:space="preserve">Рабочая: То же</w:t>
            </w:r>
          </w:p>
          <w:p>
            <w:r>
              <w:rPr>
                <w:color w:val="666666"/>
                <w:sz w:val="13"/>
              </w:rPr>
              <w:t xml:space="preserve">Источник: ИД ч.2 табл. 4.2; прил. В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Колпаки — на бортах ванн; воздуховод — на независимых стойках и подвесках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данным поставщика; нагрузка воздуховода — на конструкции здания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Нет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Циркуляция электролита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6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Циркуляционный бак (бак питания ванн)</w:t>
            </w:r>
          </w:p>
          <w:p>
            <w:r>
              <w:rPr>
                <w:color w:val="666666"/>
                <w:sz w:val="13"/>
              </w:rPr>
              <w:t xml:space="preserve">Бак с перегородкой; поз. 4.2.1 по ИД; кол-во: 2 (по числу серий)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Электролитное отделение, отметка ниже ванн для самотёчного слива; 2 × 300 м³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25–40 в стальном исполнении (ориентировочно)</w:t>
            </w:r>
          </w:p>
          <w:p>
            <w:r>
              <w:rPr>
                <w:sz w:val="14"/>
              </w:rPr>
              <w:t xml:space="preserve">Рабочая: ≈380–400 брутто каждый (300 м³ × 1,2 т/м³ и тара)</w:t>
            </w:r>
          </w:p>
          <w:p>
            <w:r>
              <w:rPr>
                <w:color w:val="666666"/>
                <w:sz w:val="13"/>
              </w:rPr>
              <w:t xml:space="preserve">Источник: ИД ч.2 табл. 4.2; расчёт КВАНТ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Отдельный фундамент; кислотоупорный поддон на 100 % объёма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≈380–400 т на фундамент каждого бака; жёсткое требование к осадкам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Нет; заполнение и опорожнение — длительная переменная нагрузка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7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Холодильник электролита пластинчатый</w:t>
            </w:r>
          </w:p>
          <w:p>
            <w:r>
              <w:rPr>
                <w:color w:val="666666"/>
                <w:sz w:val="13"/>
              </w:rPr>
              <w:t xml:space="preserve">Пластинчатый теплообменник, охлаждение водой; поз. 4.2.2 по ИД; кол-во: 2 (по числу серий)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Электролитное отделение, 0,000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данным изготовителя</w:t>
            </w:r>
          </w:p>
          <w:p>
            <w:r>
              <w:rPr>
                <w:sz w:val="14"/>
              </w:rPr>
              <w:t xml:space="preserve">Рабочая: По данным изготовителя, с заполнением</w:t>
            </w:r>
          </w:p>
          <w:p>
            <w:r>
              <w:rPr>
                <w:color w:val="666666"/>
                <w:sz w:val="13"/>
              </w:rPr>
              <w:t xml:space="preserve">Источник: ИД ч.2 табл. 4.2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Рама на фундаменте в поддоне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В объём БИ по лоту не входит; нагрузки — задание смежному проектировщику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Нет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Обработка катодов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8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Роботизированная катодосдирочная машина (КСМ)</w:t>
            </w:r>
          </w:p>
          <w:p>
            <w:r>
              <w:rPr>
                <w:color w:val="666666"/>
                <w:sz w:val="13"/>
              </w:rPr>
              <w:t xml:space="preserve">кол-во: 1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Торец зала у ворот склада готовой продукции, 0,000; зона 30–35 м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данным поставщика (станция сдирки — самый тяжёлый блок)</w:t>
            </w:r>
          </w:p>
          <w:p>
            <w:r>
              <w:rPr>
                <w:sz w:val="14"/>
              </w:rPr>
              <w:t xml:space="preserve">Рабочая: По данным поставщика, с матрицами и промывными растворами</w:t>
            </w:r>
          </w:p>
          <w:p>
            <w:r>
              <w:rPr>
                <w:color w:val="666666"/>
                <w:sz w:val="13"/>
              </w:rPr>
              <w:t xml:space="preserve">Источник: ИД ч.2 табл. 4.2; прил. В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Рама на фундаменте; химстойкий пол с трапами; гидростанция 120 бар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строительному заданию поставщика (прил. В, п. 15)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Циклические знакопеременные усилия манипуляторов и станции сдирки; см. раздел 4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9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Оборудование формирования пакетов катодов</w:t>
            </w:r>
          </w:p>
          <w:p>
            <w:r>
              <w:rPr>
                <w:color w:val="666666"/>
                <w:sz w:val="13"/>
              </w:rPr>
              <w:t xml:space="preserve">кол-во: Комплект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Зона КСМ, 0,000; выход пакетного конвейера к передаточным воротам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данным поставщика</w:t>
            </w:r>
          </w:p>
          <w:p>
            <w:r>
              <w:rPr>
                <w:sz w:val="14"/>
              </w:rPr>
              <w:t xml:space="preserve">Рабочая: Пакеты 1400–2000 кг (по заданию сбыта 2500 ± 50 кг)</w:t>
            </w:r>
          </w:p>
          <w:p>
            <w:r>
              <w:rPr>
                <w:color w:val="666666"/>
                <w:sz w:val="13"/>
              </w:rPr>
              <w:t xml:space="preserve">Источник: ИД ч.2 табл. 4.2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Опоры на плиту пола через закладные детали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Нагрузка накопителя пакетов на плиту пола — по компоновке поставщика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Тихоходный привод; коэффициент динамичности 1,1–1,2 (предварительно)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10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Оборудование автоматической изоляции кромок матриц</w:t>
            </w:r>
          </w:p>
          <w:p>
            <w:r>
              <w:rPr>
                <w:color w:val="666666"/>
                <w:sz w:val="13"/>
              </w:rPr>
              <w:t xml:space="preserve">кол-во: Комплект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Зона КСМ, 0,000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данным поставщика</w:t>
            </w:r>
          </w:p>
          <w:p>
            <w:r>
              <w:rPr>
                <w:sz w:val="14"/>
              </w:rPr>
              <w:t xml:space="preserve">Рабочая: По данным поставщика</w:t>
            </w:r>
          </w:p>
          <w:p>
            <w:r>
              <w:rPr>
                <w:color w:val="666666"/>
                <w:sz w:val="13"/>
              </w:rPr>
              <w:t xml:space="preserve">Источник: ИД ч.2 табл. 4.2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Опоры на плиту пола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данным поставщика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Тихоходный привод; коэффициент динамичности 1,1–1,2 (предварительно)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Подъёмно-транспортное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11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Специальные автоматические краны с системой позиционирования</w:t>
            </w:r>
          </w:p>
          <w:p>
            <w:r>
              <w:rPr>
                <w:color w:val="666666"/>
                <w:sz w:val="13"/>
              </w:rPr>
              <w:t xml:space="preserve">кол-во: 2 (по одному на серию/пролёт)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Подкрановые пути пролётов серий; отметки существующих путей +8,65…+10,60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Мост и тележка — по ТКП</w:t>
            </w:r>
          </w:p>
          <w:p>
            <w:r>
              <w:rPr>
                <w:sz w:val="14"/>
              </w:rPr>
              <w:t xml:space="preserve">Рабочая: Груз до 11,6 плюс траверса 3–5; требуемая г/п ориентировочно 16–20</w:t>
            </w:r>
          </w:p>
          <w:p>
            <w:r>
              <w:rPr>
                <w:color w:val="666666"/>
                <w:sz w:val="13"/>
              </w:rPr>
              <w:t xml:space="preserve">Источник: ИД ч.2 прил. В; расчёт; СП 20.13330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Подкрановые балки и колонны; при использовании существующих путей — поверочный расчёт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Колёсные нагрузки — по ТКП крана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Группа режима не легче А6/М7; вертикальные и горизонтальные крановые; см. раздел 4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12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Автоматизированная транспортировка пакетов катодной меди на СГП</w:t>
            </w:r>
          </w:p>
          <w:p>
            <w:r>
              <w:rPr>
                <w:color w:val="666666"/>
                <w:sz w:val="13"/>
              </w:rPr>
              <w:t xml:space="preserve">кол-во: Комплект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Трасса от зоны КСМ к воротам склада готовой продукции, 0,000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данным поставщика</w:t>
            </w:r>
          </w:p>
          <w:p>
            <w:r>
              <w:rPr>
                <w:sz w:val="14"/>
              </w:rPr>
              <w:t xml:space="preserve">Рабочая: С пакетом 1400–2500 кг</w:t>
            </w:r>
          </w:p>
          <w:p>
            <w:r>
              <w:rPr>
                <w:color w:val="666666"/>
                <w:sz w:val="13"/>
              </w:rPr>
              <w:t xml:space="preserve">Источник: ИД ч.2 табл. 4.2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Опоры конвейера на плиту пола через закладные детали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Собственный вес трассы и пакетов — по данным поставщика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Тихоходный привод; коэффициент динамичности 1,1–1,2 (предварительно)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Реагенты (вне табл. 4.2)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13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Ёмкости приготовления, хранения и дозирования коллоидной добавки</w:t>
            </w:r>
          </w:p>
          <w:p>
            <w:r>
              <w:rPr>
                <w:color w:val="666666"/>
                <w:sz w:val="13"/>
              </w:rPr>
              <w:t xml:space="preserve">кол-во: 2 (поочерёдно работающие)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Узел реагентов электролитного отделения, 0,000, в поддоне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С заполнением на 12 ч работы каждой ёмкости</w:t>
            </w:r>
          </w:p>
          <w:p>
            <w:r>
              <w:rPr>
                <w:color w:val="666666"/>
                <w:sz w:val="13"/>
              </w:rPr>
              <w:t xml:space="preserve">Источник: ИД ч.2 табл. 4.2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Опоры на плиту пола в поддоне; тихоходные рамные мешалки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ТКП и объёму заполнения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Тихоходные мешалки; коэффициент 1,1–1,2 (предварительно)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Питание током (не в БИ)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14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Выпрямители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Существующая преобразовательная подстанция у торца зала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данным изготовителя</w:t>
            </w:r>
          </w:p>
          <w:p>
            <w:r>
              <w:rPr>
                <w:sz w:val="14"/>
              </w:rPr>
              <w:t xml:space="preserve">Рабочая: По данным изготовителя</w:t>
            </w:r>
          </w:p>
          <w:p>
            <w:r>
              <w:rPr>
                <w:color w:val="666666"/>
                <w:sz w:val="13"/>
              </w:rPr>
              <w:t xml:space="preserve">Источник: ТЗ п. 5.3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Существующие фундаменты подстанции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В объём БИ по лоту не входит; нагрузки — задание смежному проектировщику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Нет</w:t>
            </w:r>
          </w:p>
        </w:tc>
      </w:tr>
    </w:tbl>
    <w:p>
      <w:r>
        <w:rPr>
          <w:color w:val="555555"/>
          <w:sz w:val="17"/>
        </w:rPr>
        <w:t xml:space="preserve">Все значения ведомости предварительные и подлежат подтверждению по опросным листам и техническим предложениям изготовителей; коэффициенты, отмеченные как предварительные, приняты решением стадии БИ до получения паспортных данных.</w:t>
      </w:r>
    </w:p>
    <w:p>
      <w:pPr>
        <w:pStyle w:val="Heading2"/>
      </w:pPr>
      <w:r>
        <w:rPr>
          <w:b/>
          <w:sz w:val="24"/>
        </w:rPr>
        <w:t xml:space="preserve">3.1 Примечания к ведомости</w:t>
      </w:r>
    </w:p>
    <w:p>
      <w:r>
        <w:rPr>
          <w:sz w:val="20"/>
        </w:rPr>
        <w:t xml:space="preserve">1. Состав рабочей массы ванны 41,0 т: корпус 8,7 + электролит 14,9 + аноды 5,525 + катоды с наращённым металлом 11,592 + остаток шлама 0,25. Объём электролита при уровне 1340 мм: 8,485 × 1,155 × 1,34 = 13,13 м³ за вычетом вытеснения электродами (катоды 0,27 м³, аноды 0,46 м³) — 12,4 м³ при плотности 1,2 т/м³.</w:t>
      </w:r>
    </w:p>
    <w:p>
      <w:r>
        <w:rPr>
          <w:sz w:val="20"/>
        </w:rPr>
        <w:t xml:space="preserve">2. Расчётный случай обслуживания: 41,0 + 10,0 (сборка подъёмной и закорачивающей рам) + 0,4 (персонал) = 51,4 т. Закорачивающая рама 8,7 т опирается на борта соседних ванн.</w:t>
      </w:r>
    </w:p>
    <w:p>
      <w:r>
        <w:rPr>
          <w:sz w:val="20"/>
        </w:rPr>
        <w:t xml:space="preserve">3. Удельные нагрузки 36 и 45 кПа приведены для сопоставления с несущей способностью перекрытий. Фактическая передача — сосредоточенная, через опорные тумбы с электроизоляцией; точечные нагрузки и их разложение по осям выдаёт поставщик ванн в строительном задании.</w:t>
      </w:r>
    </w:p>
    <w:p>
      <w:r>
        <w:rPr>
          <w:sz w:val="20"/>
        </w:rPr>
        <w:t xml:space="preserve">4. Суммарная нагрузка: серия из 90 ванн около 3690 т, отделение из 180 ванн около 7380 т без рам и кранов. Значения используются для оценки воздействия на основание и сопоставления с несущей способностью существующего корпуса.</w:t>
      </w:r>
    </w:p>
    <w:p>
      <w:pPr>
        <w:pStyle w:val="Heading2"/>
      </w:pPr>
      <w:r>
        <w:rPr>
          <w:b/>
          <w:sz w:val="24"/>
        </w:rPr>
        <w:t xml:space="preserve">3.2 Прочие нагрузки и воздействия</w:t>
      </w:r>
    </w:p>
    <w:p>
      <w:r>
        <w:rPr>
          <w:sz w:val="20"/>
        </w:rPr>
        <w:t xml:space="preserve">В таблице приведены нагрузки, не отнесённые к отдельным единицам оборудования: нагрузки от трубопроводов и газоходов, крановые, полезные нагрузки перекрытий, монтажные и ремонтные воздействия.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400"/>
        <w:gridCol w:w="1750"/>
        <w:gridCol w:w="1900"/>
        <w:gridCol w:w="2200"/>
        <w:gridCol w:w="1950"/>
        <w:gridCol w:w="1154"/>
      </w:tblGrid>
      <w:tr>
        <w:trPr>
          <w:tblHeader/>
          <w:cantSplit/>
        </w:trPr>
        <w:tc>
          <w:tcPr>
            <w:tcW w:w="400" w:type="dxa"/>
            <w:shd w:val="clear" w:fill="EFEFEF"/>
          </w:tcPr>
          <w:p>
            <w:r>
              <w:rPr>
                <w:b/>
                <w:sz w:val="15"/>
              </w:rPr>
              <w:t xml:space="preserve">№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5"/>
              </w:rPr>
              <w:t xml:space="preserve">Воздействие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5"/>
              </w:rPr>
              <w:t xml:space="preserve">Место приложения</w:t>
            </w:r>
          </w:p>
        </w:tc>
        <w:tc>
          <w:tcPr>
            <w:tcW w:w="2200" w:type="dxa"/>
            <w:shd w:val="clear" w:fill="EFEFEF"/>
          </w:tcPr>
          <w:p>
            <w:r>
              <w:rPr>
                <w:b/>
                <w:sz w:val="15"/>
              </w:rPr>
              <w:t xml:space="preserve">Предварительное значение</w:t>
            </w:r>
          </w:p>
        </w:tc>
        <w:tc>
          <w:tcPr>
            <w:tcW w:w="1950" w:type="dxa"/>
            <w:shd w:val="clear" w:fill="EFEFEF"/>
          </w:tcPr>
          <w:p>
            <w:r>
              <w:rPr>
                <w:b/>
                <w:sz w:val="15"/>
              </w:rPr>
              <w:t xml:space="preserve">Учёт в расчёте</w:t>
            </w:r>
          </w:p>
        </w:tc>
        <w:tc>
          <w:tcPr>
            <w:tcW w:w="11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1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Суммарная нагрузка от ванн на здание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Подванные конструкции электролизного зала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Серия 90 ванн ≈3690 т; отделение 180 ванн ≈7380 т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Оценка суммарного воздействия на основание и сопоставление с несущей способностью корпуса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Расчёт КВАНТ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2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Эксплуатационные добавки к нагрузке ванны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Борта и опоры ванн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Персонал 0,4 т; опирание рамы позиционирования крана 0,3 т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Учитываются в расчётном случае обслуживания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ИД ч.2 прил. В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3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Коэффициенты надёжности по нагрузке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Все расчётные сочетания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γf = 1,05–1,2 для оборудования с известной массой; γf = 1,2 для жидкости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Сочетания по СП 20.13330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Решение БИ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4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Нагрузка на подкрановые конструкции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Подкрановые пути пролётов серий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Груз до 11,6 т плюс траверса 3–5 т; г/п ориентировочно 16–20 т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Обязателен поверочный расчёт существующих путей и колонн при модернизации кранов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ИД ч.2 прил. В; расчёт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Монтажные нагрузки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Монтажные проёмы торца зала, трасса подачи ванн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Ванна 8,7 т; сборка рам 10,0 т; циркуляционный бак — секциями либо по месту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Подъём ванн траверсой за штатные точки; перекос недопустим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ИД ч.2 прил. В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6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Нагрузки на покрытие при новых проёмах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Покрытие зала в местах прохода воздуховодов аспирации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Снеговая 3,2 кПа, ветровая 0,30 кПа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Проверка покрытия при устройстве новых проёмов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ТЗ п. 2.9.3–2.9.4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3.3 Сводка определяющих нагрузок лота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000"/>
        <w:gridCol w:w="4900"/>
        <w:gridCol w:w="1454"/>
      </w:tblGrid>
      <w:tr>
        <w:trPr>
          <w:tblHeader/>
          <w:cantSplit/>
        </w:trPr>
        <w:tc>
          <w:tcPr>
            <w:tcW w:w="3000" w:type="dxa"/>
            <w:shd w:val="clear" w:fill="EFEFEF"/>
          </w:tcPr>
          <w:p>
            <w:r>
              <w:rPr>
                <w:b/>
                <w:sz w:val="15"/>
              </w:rPr>
              <w:t xml:space="preserve">Показатель</w:t>
            </w:r>
          </w:p>
        </w:tc>
        <w:tc>
          <w:tcPr>
            <w:tcW w:w="4900" w:type="dxa"/>
            <w:shd w:val="clear" w:fill="EFEFEF"/>
          </w:tcPr>
          <w:p>
            <w:r>
              <w:rPr>
                <w:b/>
                <w:sz w:val="15"/>
              </w:rPr>
              <w:t xml:space="preserve">Предварительное значение</w:t>
            </w:r>
          </w:p>
        </w:tc>
        <w:tc>
          <w:tcPr>
            <w:tcW w:w="14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Ванна в работе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41,0 т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ч.2 прил. В; расчёт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Ванна при обслуживании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До 51,4 т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ч.2 прил. В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Эквивалентная удельная нагрузка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36 кПа в эксплуатации; до 45 кПа при обслуживании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Расчёт КВАНТ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Погонная нагрузка ряда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29,3 т на метр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Расчёт КВАНТ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Серия из 90 ванн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≈3690 т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Расчёт КВАНТ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Отделение из 180 ванн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≈7380 т (без рам и кранов)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Расчёт КВАНТ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Циркуляционный бак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≈380–400 т брутто на фундамент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Расчёт КВАНТ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4. Динамические нагрузки</w:t>
      </w:r>
    </w:p>
    <w:p>
      <w:r>
        <w:rPr>
          <w:sz w:val="20"/>
        </w:rPr>
        <w:t xml:space="preserve">Машин с неуравновешенными вращающимися массами в отделении нет. Определяющие динамические воздействия — крановые нагрузки при высокой интенсивности циклов обслуживания ванн и циклические усилия катодосдирочной машины; дополнительно учитывается кратковременная нагрузка от перестановки закорачивающей рамы.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80"/>
        <w:gridCol w:w="1800"/>
        <w:gridCol w:w="1250"/>
        <w:gridCol w:w="1000"/>
        <w:gridCol w:w="2200"/>
        <w:gridCol w:w="2724"/>
      </w:tblGrid>
      <w:tr>
        <w:trPr>
          <w:tblHeader/>
          <w:cantSplit/>
        </w:trPr>
        <w:tc>
          <w:tcPr>
            <w:tcW w:w="380" w:type="dxa"/>
            <w:shd w:val="clear" w:fill="EFEFEF"/>
          </w:tcPr>
          <w:p>
            <w:r>
              <w:rPr>
                <w:b/>
                <w:sz w:val="15"/>
              </w:rPr>
              <w:t xml:space="preserve">№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5"/>
              </w:rPr>
              <w:t xml:space="preserve">Машина, воздействие</w:t>
            </w:r>
          </w:p>
        </w:tc>
        <w:tc>
          <w:tcPr>
            <w:tcW w:w="1250" w:type="dxa"/>
            <w:shd w:val="clear" w:fill="EFEFEF"/>
          </w:tcPr>
          <w:p>
            <w:r>
              <w:rPr>
                <w:b/>
                <w:sz w:val="15"/>
              </w:rPr>
              <w:t xml:space="preserve">Частота возмущения</w:t>
            </w:r>
          </w:p>
        </w:tc>
        <w:tc>
          <w:tcPr>
            <w:tcW w:w="1000" w:type="dxa"/>
            <w:shd w:val="clear" w:fill="EFEFEF"/>
          </w:tcPr>
          <w:p>
            <w:r>
              <w:rPr>
                <w:b/>
                <w:sz w:val="15"/>
              </w:rPr>
              <w:t xml:space="preserve">Масса, т</w:t>
            </w:r>
          </w:p>
        </w:tc>
        <w:tc>
          <w:tcPr>
            <w:tcW w:w="2200" w:type="dxa"/>
            <w:shd w:val="clear" w:fill="EFEFEF"/>
          </w:tcPr>
          <w:p>
            <w:r>
              <w:rPr>
                <w:b/>
                <w:sz w:val="15"/>
              </w:rPr>
              <w:t xml:space="preserve">Характер воздействия</w:t>
            </w:r>
          </w:p>
        </w:tc>
        <w:tc>
          <w:tcPr>
            <w:tcW w:w="2724" w:type="dxa"/>
            <w:shd w:val="clear" w:fill="EFEFEF"/>
          </w:tcPr>
          <w:p>
            <w:r>
              <w:rPr>
                <w:b/>
                <w:sz w:val="15"/>
              </w:rPr>
              <w:t xml:space="preserve">Предварительное требование к фундаменту</w:t>
            </w:r>
          </w:p>
        </w:tc>
      </w:tr>
      <w:tr>
        <w:trPr>
          <w:cantSplit/>
        </w:trPr>
        <w:tc>
          <w:tcPr>
            <w:tcW w:w="380" w:type="dxa"/>
          </w:tcPr>
          <w:p>
            <w:r>
              <w:rPr>
                <w:sz w:val="15"/>
              </w:rPr>
              <w:t xml:space="preserve">1</w:t>
            </w:r>
          </w:p>
        </w:tc>
        <w:tc>
          <w:tcPr>
            <w:tcW w:w="1800" w:type="dxa"/>
          </w:tcPr>
          <w:p>
            <w:r>
              <w:rPr>
                <w:sz w:val="15"/>
              </w:rPr>
              <w:t xml:space="preserve">Специальные автоматические краны</w:t>
            </w:r>
          </w:p>
          <w:p>
            <w:r>
              <w:rPr>
                <w:color w:val="666666"/>
                <w:sz w:val="13"/>
              </w:rPr>
              <w:t xml:space="preserve">2 шт.</w:t>
            </w:r>
          </w:p>
        </w:tc>
        <w:tc>
          <w:tcPr>
            <w:tcW w:w="1250" w:type="dxa"/>
          </w:tcPr>
          <w:p>
            <w:r>
              <w:rPr>
                <w:sz w:val="14"/>
              </w:rPr>
              <w:t xml:space="preserve">Циклы подъёма и торможения; около 28 обслуживаний ванн в сутки</w:t>
            </w:r>
          </w:p>
        </w:tc>
        <w:tc>
          <w:tcPr>
            <w:tcW w:w="1000" w:type="dxa"/>
          </w:tcPr>
          <w:p>
            <w:r>
              <w:rPr>
                <w:sz w:val="14"/>
              </w:rPr>
              <w:t xml:space="preserve">Груз до 11,6 плюс траверса 3–5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Вертикальные динамические воздействия на подкрановые балки; горизонтальные поперечные — от торможения тележки с грузом на гибком подвесе; продольные — от торможения моста</w:t>
            </w:r>
          </w:p>
        </w:tc>
        <w:tc>
          <w:tcPr>
            <w:tcW w:w="2724" w:type="dxa"/>
          </w:tcPr>
          <w:p>
            <w:r>
              <w:rPr>
                <w:sz w:val="14"/>
              </w:rPr>
              <w:t xml:space="preserve">Группа режима работы не легче А6/М7; коэффициенты по СП 20.13330 по группе режима; обязателен поверочный расчёт существующих путей и колонн</w:t>
            </w:r>
          </w:p>
          <w:p>
            <w:r>
              <w:rPr>
                <w:color w:val="666666"/>
                <w:sz w:val="13"/>
              </w:rPr>
              <w:t xml:space="preserve">Источник: ИД ч.2 прил. В; расчёт</w:t>
            </w:r>
          </w:p>
        </w:tc>
      </w:tr>
      <w:tr>
        <w:trPr>
          <w:cantSplit/>
        </w:trPr>
        <w:tc>
          <w:tcPr>
            <w:tcW w:w="380" w:type="dxa"/>
          </w:tcPr>
          <w:p>
            <w:r>
              <w:rPr>
                <w:sz w:val="15"/>
              </w:rPr>
              <w:t xml:space="preserve">2</w:t>
            </w:r>
          </w:p>
        </w:tc>
        <w:tc>
          <w:tcPr>
            <w:tcW w:w="1800" w:type="dxa"/>
          </w:tcPr>
          <w:p>
            <w:r>
              <w:rPr>
                <w:sz w:val="15"/>
              </w:rPr>
              <w:t xml:space="preserve">Катодосдирочная машина</w:t>
            </w:r>
          </w:p>
          <w:p>
            <w:r>
              <w:rPr>
                <w:color w:val="666666"/>
                <w:sz w:val="13"/>
              </w:rPr>
              <w:t xml:space="preserve">1 шт.</w:t>
            </w:r>
          </w:p>
        </w:tc>
        <w:tc>
          <w:tcPr>
            <w:tcW w:w="1250" w:type="dxa"/>
          </w:tcPr>
          <w:p>
            <w:r>
              <w:rPr>
                <w:sz w:val="14"/>
              </w:rPr>
              <w:t xml:space="preserve">Производительность 105–120 матриц/ч</w:t>
            </w:r>
          </w:p>
        </w:tc>
        <w:tc>
          <w:tcPr>
            <w:tcW w:w="1000" w:type="dxa"/>
          </w:tcPr>
          <w:p>
            <w:r>
              <w:rPr>
                <w:sz w:val="14"/>
              </w:rPr>
              <w:t xml:space="preserve">По данным поставщика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Циклические знакопеременные усилия манипуляторов и станции сдирки</w:t>
            </w:r>
          </w:p>
        </w:tc>
        <w:tc>
          <w:tcPr>
            <w:tcW w:w="2724" w:type="dxa"/>
          </w:tcPr>
          <w:p>
            <w:r>
              <w:rPr>
                <w:sz w:val="14"/>
              </w:rPr>
              <w:t xml:space="preserve">Требования к жёсткости основания и динамические коэффициенты — по строительному заданию поставщика (прил. В, п. 15)</w:t>
            </w:r>
          </w:p>
          <w:p>
            <w:r>
              <w:rPr>
                <w:color w:val="666666"/>
                <w:sz w:val="13"/>
              </w:rPr>
              <w:t xml:space="preserve">Источник: ИД ч.2 табл. 4.2</w:t>
            </w:r>
          </w:p>
        </w:tc>
      </w:tr>
      <w:tr>
        <w:trPr>
          <w:cantSplit/>
        </w:trPr>
        <w:tc>
          <w:tcPr>
            <w:tcW w:w="380" w:type="dxa"/>
          </w:tcPr>
          <w:p>
            <w:r>
              <w:rPr>
                <w:sz w:val="15"/>
              </w:rPr>
              <w:t xml:space="preserve">3</w:t>
            </w:r>
          </w:p>
        </w:tc>
        <w:tc>
          <w:tcPr>
            <w:tcW w:w="1800" w:type="dxa"/>
          </w:tcPr>
          <w:p>
            <w:r>
              <w:rPr>
                <w:sz w:val="15"/>
              </w:rPr>
              <w:t xml:space="preserve">Перестановка закорачивающей рамы</w:t>
            </w:r>
          </w:p>
          <w:p>
            <w:r>
              <w:rPr>
                <w:color w:val="666666"/>
                <w:sz w:val="13"/>
              </w:rPr>
              <w:t xml:space="preserve">По циклу обслуживания</w:t>
            </w:r>
          </w:p>
        </w:tc>
        <w:tc>
          <w:tcPr>
            <w:tcW w:w="1250" w:type="dxa"/>
          </w:tcPr>
          <w:p>
            <w:r>
              <w:rPr>
                <w:sz w:val="14"/>
              </w:rPr>
              <w:t xml:space="preserve">Кратковременное воздействие</w:t>
            </w:r>
          </w:p>
        </w:tc>
        <w:tc>
          <w:tcPr>
            <w:tcW w:w="1000" w:type="dxa"/>
          </w:tcPr>
          <w:p>
            <w:r>
              <w:rPr>
                <w:sz w:val="14"/>
              </w:rPr>
              <w:t xml:space="preserve">8,7 (рама)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Кратковременная сосредоточенная нагрузка на борта двух соседних ванн</w:t>
            </w:r>
          </w:p>
        </w:tc>
        <w:tc>
          <w:tcPr>
            <w:tcW w:w="2724" w:type="dxa"/>
          </w:tcPr>
          <w:p>
            <w:r>
              <w:rPr>
                <w:sz w:val="14"/>
              </w:rPr>
              <w:t xml:space="preserve">Учтена в прочности бортов ванн; на конструкции передаётся через опорные тумбы</w:t>
            </w:r>
          </w:p>
          <w:p>
            <w:r>
              <w:rPr>
                <w:color w:val="666666"/>
                <w:sz w:val="13"/>
              </w:rPr>
              <w:t xml:space="preserve">Источник: ИД ч.2 прил. В</w:t>
            </w:r>
          </w:p>
        </w:tc>
      </w:tr>
      <w:tr>
        <w:trPr>
          <w:cantSplit/>
        </w:trPr>
        <w:tc>
          <w:tcPr>
            <w:tcW w:w="380" w:type="dxa"/>
          </w:tcPr>
          <w:p>
            <w:r>
              <w:rPr>
                <w:sz w:val="15"/>
              </w:rPr>
              <w:t xml:space="preserve">4</w:t>
            </w:r>
          </w:p>
        </w:tc>
        <w:tc>
          <w:tcPr>
            <w:tcW w:w="1800" w:type="dxa"/>
          </w:tcPr>
          <w:p>
            <w:r>
              <w:rPr>
                <w:sz w:val="15"/>
              </w:rPr>
              <w:t xml:space="preserve">Мешалки узла реагентов</w:t>
            </w:r>
          </w:p>
          <w:p>
            <w:r>
              <w:rPr>
                <w:color w:val="666666"/>
                <w:sz w:val="13"/>
              </w:rPr>
              <w:t xml:space="preserve">2 шт.</w:t>
            </w:r>
          </w:p>
        </w:tc>
        <w:tc>
          <w:tcPr>
            <w:tcW w:w="1250" w:type="dxa"/>
          </w:tcPr>
          <w:p>
            <w:r>
              <w:rPr>
                <w:sz w:val="14"/>
              </w:rPr>
              <w:t xml:space="preserve">Тихоходные приводы</w:t>
            </w:r>
          </w:p>
        </w:tc>
        <w:tc>
          <w:tcPr>
            <w:tcW w:w="100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Малые динамические добавки к статической нагрузке</w:t>
            </w:r>
          </w:p>
        </w:tc>
        <w:tc>
          <w:tcPr>
            <w:tcW w:w="2724" w:type="dxa"/>
          </w:tcPr>
          <w:p>
            <w:r>
              <w:rPr>
                <w:sz w:val="14"/>
              </w:rPr>
              <w:t xml:space="preserve">Коэффициент динамичности 1,1–1,2 (предварительно)</w:t>
            </w:r>
          </w:p>
          <w:p>
            <w:r>
              <w:rPr>
                <w:color w:val="666666"/>
                <w:sz w:val="13"/>
              </w:rPr>
              <w:t xml:space="preserve">Источник: Решение БИ</w:t>
            </w:r>
          </w:p>
        </w:tc>
      </w:tr>
    </w:tbl>
    <w:p>
      <w:r>
        <w:rPr>
          <w:color w:val="555555"/>
          <w:sz w:val="17"/>
        </w:rPr>
        <w:t xml:space="preserve">Коэффициенты динамичности, массы фундаментных блоков и границы отстройки частот, приведённые выше, предварительные: они приняты решением стадии БИ до получения паспортных динамических данных изготовителей и подлежат подтверждению расчётом амплитуд после выбора машин.</w:t>
      </w:r>
    </w:p>
    <w:p>
      <w:pPr>
        <w:pStyle w:val="Heading1"/>
      </w:pPr>
      <w:r>
        <w:rPr>
          <w:b/>
          <w:sz w:val="28"/>
        </w:rPr>
        <w:t xml:space="preserve">5. Требования к строительной части</w:t>
      </w:r>
    </w:p>
    <w:p>
      <w:r>
        <w:rPr>
          <w:sz w:val="20"/>
        </w:rPr>
        <w:t xml:space="preserve">Требования настоящего раздела выдаются строительному разделу как задание. Они определяют конструктивные элементы, без которых приведённые нагрузки не могут быть восприняты либо оборудование не может быть смонтировано и обслужено.</w:t>
      </w:r>
    </w:p>
    <w:p>
      <w:r>
        <w:rPr>
          <w:b/>
          <w:sz w:val="21"/>
        </w:rPr>
        <w:t xml:space="preserve">Подванные конструкции</w:t>
      </w:r>
    </w:p>
    <w:p>
      <w:r>
        <w:rPr>
          <w:sz w:val="20"/>
        </w:rPr>
        <w:t xml:space="preserve">Под рядами ванн выполняется непрерывный кислотоупорный пол-поддон с бортиком и зумпфами; в проходах и по трассе переноса матриц краном — полы с уклонами к сливным карманам. Подванное пространство вмещает рельсы мобильного нутч-фильтра, систему отвода избыточного раствора на гибкой подводке и сливные карманы.</w:t>
      </w:r>
    </w:p>
    <w:p>
      <w:r>
        <w:rPr>
          <w:b/>
          <w:sz w:val="21"/>
        </w:rPr>
        <w:t xml:space="preserve">Кислотозащита</w:t>
      </w:r>
    </w:p>
    <w:p>
      <w:r>
        <w:rPr>
          <w:sz w:val="20"/>
        </w:rPr>
        <w:t xml:space="preserve">Среда — электролит 112–120 кг/м³ серной кислоты при 50 °C и аэрозоль кислоты; по СП 28.13330 это сильноагрессивная среда для бетона и арматуры. Принимается принцип двух барьеров: первичная защита — бетоны повышенной плотности и водонепроницаемости; вторичная — непроницаемый подслой (химстойкая мембрана или оклеечная изоляция) и износостойкое покрытие: кислотоупорная керамическая плитка по ГОСТ 961-89 на химстойких замазках в зонах механических воздействий, монолитные винилэфирные покрытия в проходах. Термостойкость материалов — до 50 °C по электролиту, в зоне катодосдирочной машины до 90–115 °C.</w:t>
      </w:r>
    </w:p>
    <w:p>
      <w:r>
        <w:rPr>
          <w:b/>
          <w:sz w:val="21"/>
        </w:rPr>
        <w:t xml:space="preserve">Поддоны и объёмы защиты</w:t>
      </w:r>
    </w:p>
    <w:p>
      <w:r>
        <w:rPr>
          <w:sz w:val="20"/>
        </w:rPr>
        <w:t xml:space="preserve">Поддоны выполняются на 100 % объёма наибольшей ёмкости (для циркуляционного бака — 300 м³); зона катодосдирочной машины — химстойкий пол с трапами и оборотом промывных вод. Ориентировочный объём защищаемых полов для нового корпуса — около 7,8 тыс. м² (зал 36 × 190 м и электролитный пристрой 24 × 42 м) плюс зумпфы, карманы, фундаменты ванн и поддоны баков.</w:t>
      </w:r>
    </w:p>
    <w:p>
      <w:r>
        <w:rPr>
          <w:b/>
          <w:sz w:val="21"/>
        </w:rPr>
        <w:t xml:space="preserve">Электрокоррозионная безопасность</w:t>
      </w:r>
    </w:p>
    <w:p>
      <w:r>
        <w:rPr>
          <w:sz w:val="20"/>
        </w:rPr>
        <w:t xml:space="preserve">Постоянный ток серий 42,45 кА — источник блуждающих токов через проливы и конструкции. Мероприятия: двухступенчатая электроизоляция опор ванн, электрические разрывы трубопроводов на подаче и приёме, изолирующие стыки закладных рельсов нутч-фильтра, периодический контроль сопротивления изоляции ванн и серий. Секционирование арматурных сеток подванной плиты и контроль потенциалов определяются на стадии БИ совместно со строительным разделом.</w:t>
      </w:r>
    </w:p>
    <w:p>
      <w:r>
        <w:rPr>
          <w:b/>
          <w:sz w:val="21"/>
        </w:rPr>
        <w:t xml:space="preserve">Фундаменты бакового хозяйства</w:t>
      </w:r>
    </w:p>
    <w:p>
      <w:r>
        <w:rPr>
          <w:sz w:val="20"/>
        </w:rPr>
        <w:t xml:space="preserve">Циркуляционные баки 2 × 300 м³ — отдельные фундаменты с жёстким требованием к неравномерности осадок и кислотоупорным поддоном на полный объём. Все фундаменты — с химзащитой по СП 28.13330; производство и приёмка работ по защите — по СП 72.13330 с пооперационными актами на скрытые слои.</w:t>
      </w:r>
    </w:p>
    <w:p>
      <w:pPr>
        <w:pStyle w:val="Heading1"/>
      </w:pPr>
      <w:r>
        <w:rPr>
          <w:b/>
          <w:sz w:val="28"/>
        </w:rPr>
        <w:t xml:space="preserve">6. Характеристики, уточняемые по техническим предложениям изготовителей</w:t>
      </w:r>
    </w:p>
    <w:p>
      <w:r>
        <w:rPr>
          <w:sz w:val="20"/>
        </w:rPr>
        <w:t xml:space="preserve">Позиции ведомости с записью «по ТКП изготовителя» уточняются в следующем порядке: опросный лист с обязательным перечнем запрашиваемых характеристик — техническое предложение изготовителя — строительное задание с окончательными нагрузками на узлы опирания — поверочный расчёт конструкций и фундаментов. Перечень характеристик, включаемых в опросные листы, приведён ниже.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00"/>
        <w:gridCol w:w="6954"/>
      </w:tblGrid>
      <w:tr>
        <w:trPr>
          <w:tblHeader/>
          <w:cantSplit/>
        </w:trPr>
        <w:tc>
          <w:tcPr>
            <w:tcW w:w="2400" w:type="dxa"/>
            <w:shd w:val="clear" w:fill="EFEFEF"/>
          </w:tcPr>
          <w:p>
            <w:r>
              <w:rPr>
                <w:b/>
                <w:sz w:val="15"/>
              </w:rPr>
              <w:t xml:space="preserve">Группа данных</w:t>
            </w:r>
          </w:p>
        </w:tc>
        <w:tc>
          <w:tcPr>
            <w:tcW w:w="6954" w:type="dxa"/>
            <w:shd w:val="clear" w:fill="EFEFEF"/>
          </w:tcPr>
          <w:p>
            <w:r>
              <w:rPr>
                <w:b/>
                <w:sz w:val="15"/>
              </w:rPr>
              <w:t xml:space="preserve">Запрашиваемые характеристики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Массы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Масса пустого аппарата или машины, масса в рабочем состоянии, масса при гидроиспытании и при монтаже; масса наибольшей неразъёмной части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Геометрия опирания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Схема и число опор, координаты опор относительно осей, тип опорного узла (лапы, юбка, рама), координаты центра тяжести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Разложение нагрузок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Распределение нагрузок по опорам с разложением по осям X, Y, Z для режимов: монтаж, гидроиспытание, нормальная работа, аварийная загрузка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Коэффициенты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Коэффициенты надёжности по нагрузке и коэффициенты динамичности, принятые изготовителем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Динамические данные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Частоты вращения и вынуждающих сил, неуравновешенные силы и моменты, класс балансировки роторов, допускаемые амплитуды колебаний опор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Требования к основанию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Требования к жёсткости основания, допускаемые осадки и их неравномерность, допускаемые уклоны и перекосы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Анкеровка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Схема фундаментных болтов и закладных деталей, усилия затяжки, требования к подливке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Температурные условия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Тепловые перемещения опорных узлов, требования к подвижным опорам и компенсаторам</w:t>
            </w:r>
          </w:p>
        </w:tc>
      </w:tr>
    </w:tbl>
    <w:p>
      <w:r>
        <w:rPr>
          <w:sz w:val="20"/>
        </w:rPr>
        <w:t xml:space="preserve">До получения этих данных нагрузки настоящего документа используются как предварительные: конструктивные решения принимаются по верхней границе диапазонов, а в планах резервируются место установки, монтажные проёмы и предельная масса оборудования.</w:t>
      </w:r>
    </w:p>
    <w:p>
      <w:pPr>
        <w:pStyle w:val="Heading1"/>
      </w:pPr>
      <w:r>
        <w:rPr>
          <w:b/>
          <w:sz w:val="28"/>
        </w:rPr>
        <w:t xml:space="preserve">7. Форма представления нагрузок на планах</w:t>
      </w:r>
    </w:p>
    <w:p>
      <w:r>
        <w:rPr>
          <w:sz w:val="20"/>
        </w:rPr>
        <w:t xml:space="preserve">На планах строительных конструкций и фундаментов для каждого узла опирания оборудования приводится таблица нагрузок следующего состава. Форма единая для всех лотов выпуска; значения заполняются по ведомости настоящего документа и уточняются по мере получения данных изготовителей.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400"/>
        <w:gridCol w:w="7954"/>
      </w:tblGrid>
      <w:tr>
        <w:trPr>
          <w:tblHeader/>
          <w:cantSplit/>
        </w:trPr>
        <w:tc>
          <w:tcPr>
            <w:tcW w:w="1400" w:type="dxa"/>
            <w:shd w:val="clear" w:fill="EFEFEF"/>
          </w:tcPr>
          <w:p>
            <w:r>
              <w:rPr>
                <w:b/>
                <w:sz w:val="15"/>
              </w:rPr>
              <w:t xml:space="preserve">Графа</w:t>
            </w:r>
          </w:p>
        </w:tc>
        <w:tc>
          <w:tcPr>
            <w:tcW w:w="7954" w:type="dxa"/>
            <w:shd w:val="clear" w:fill="EFEFEF"/>
          </w:tcPr>
          <w:p>
            <w:r>
              <w:rPr>
                <w:b/>
                <w:sz w:val="15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N пост.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Постоянная вертикальная нагрузка — собственный вес оборудования, футеровки и опорных конструкций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N длит.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Длительная вертикальная нагрузка от заполнения: материал, раствор, вода, пылевые отложения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N кратк.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Кратковременная нагрузка: обслуживание, ремонтные операции, монтажные и испытательные режимы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F дин.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Динамическая составляющая: амплитуда и частота вынуждающей силы, допускаемая амплитуда колебаний опоры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M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Момент от эксцентриситетов конусов, патрубков и присоединяемых трубопроводов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H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Горизонтальные усилия: тормозные, температурные, ветровые и сейсмические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Привязка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Привязка узла к осям и отметкам, схема фундаментных болтов и закладных деталей</w:t>
            </w:r>
          </w:p>
        </w:tc>
      </w:tr>
    </w:tbl>
    <w:p>
      <w:r>
        <w:rPr>
          <w:sz w:val="20"/>
        </w:rPr>
        <w:t xml:space="preserve">Дополнительно на планах указываются: привязка оборудования к разбивочным осям и отметкам, габариты опорных конструкций, зоны обслуживания и монтажные проёмы, границы конструктивно самостоятельных блоков и деформационных швов.</w:t>
      </w:r>
    </w:p>
    <w:p>
      <w:pPr>
        <w:pStyle w:val="Heading1"/>
      </w:pPr>
      <w:r>
        <w:rPr>
          <w:b/>
          <w:sz w:val="28"/>
        </w:rPr>
        <w:t xml:space="preserve">8. Открытые позиции</w:t>
      </w:r>
    </w:p>
    <w:p>
      <w:r>
        <w:rPr>
          <w:sz w:val="20"/>
        </w:rPr>
        <w:t xml:space="preserve">Ниже перечислено то, что на стадии Базового инжиниринга не может быть определено окончательно и требует данных Заказчика, изысканий, обследования либо технических предложений изготовителей. Каждая позиция закрывается до выдачи строительного задания.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Поверочный расчёт существующих конструкций существующего корпуса электрорафинирования (1971 г.) под новую раскладку опор ванн и модернизированные краны — по результатам обследования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Строительные задания поставщиков (ванны, катодосдирочная машина, краны): точечные нагрузки, коэффициенты надёжности и динамики — прил. В, п. 15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Масса и центр тяжести траверсы-бороны с поддоном — по данным поставщика кранового оборудования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Карта проливов и высота защиты колонн/стен по зонам — разрабатывается в БИ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Выбор конкретной системы покрытий — по испытаниям образцов в рабочем электролите (50 °С) на стадии БИ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Мероприятия по блуждающим токам в арматуре подванной плиты (секционирование, контроль потенциалов) — совместно со строительным разделом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Массы моста и тележки специальных кранов, масса станции сдирки катодосдирочной машины — по техническим предложениям поставщиков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Конструктив циркуляционных баков (стальные секции заводской поставки либо бетонные корпуса по месту) и, соответственно, масса пустого аппарата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l3 ng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