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Core" Type="http://schemas.openxmlformats.org/package/2006/relationships/metadata/core-properties" Target="docProps/core.xml"/><Relationship Id="rIdApp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rPr>
          <w:b/>
          <w:sz w:val="28"/>
        </w:rPr>
        <w:t xml:space="preserve">1. Общие положения</w:t>
      </w:r>
    </w:p>
    <w:p>
      <w:pPr>
        <w:pStyle w:val="Heading2"/>
      </w:pPr>
      <w:r>
        <w:rPr>
          <w:b/>
          <w:sz w:val="24"/>
        </w:rPr>
        <w:t xml:space="preserve">1.1 Назначение и состав документа</w:t>
      </w:r>
    </w:p>
    <w:p>
      <w:r>
        <w:rPr>
          <w:sz w:val="20"/>
        </w:rPr>
        <w:t xml:space="preserve">Спецификация содержит перечень основного и вспомогательного технологического оборудования Лота №3 «Отделение электроэкстракции» в границах проектирования Базового инжиниринга с указанием назначения, определяющих технических характеристик, количества, материального исполнения, габаритов, массы, мощности электроприёмников и статуса поставки каждой позиции. Документ выполняет требование состава Базового инжиниринга «Спецификация основного и вспомогательного технологического оборудования с указанием технических характеристик, в том числе габаритных размеров, массы, энергопотребления» (ТЗ на БИ ред. 4.1; пункт состава D-18).</w:t>
      </w:r>
    </w:p>
    <w:p>
      <w:r>
        <w:rPr>
          <w:sz w:val="20"/>
        </w:rPr>
        <w:t xml:space="preserve">Позиции сгруппированы по участкам в порядке технологического процесса; номер позиции — порядковый в пределах лота. Для позиций, имеющих номер по технологической схеме исходных данных, этот номер приведён в графе наименования (поз. по ИД). Форма спецификации — по ГОСТ 21.110-2013 с дополнительными графами по ТЗ (габариты, масса, энергопотребление).</w:t>
      </w:r>
    </w:p>
    <w:p>
      <w:r>
        <w:rPr>
          <w:sz w:val="20"/>
        </w:rPr>
        <w:t xml:space="preserve">Значения граф взяты из исходных данных Заказчика (ИД ч.1, ИД ч.2), Технического задания (ред. 4.1 от 25.08.2026) и расчётной модели КВАНТ. Значения, добавленные из текстовых разделов исходных данных и пояснительной записки, приведены в графах с указанием источника; общее основание перечня — ниже, ключевые позиции и их источники — в разделе 4. Запись «по ТКП» в графах габаритов, массы и мощности означает, что характеристика в исходных данных не задана и уточняется по технико-коммерческому предложению изготовителя; знак «—» — характеристика в исходных данных не задана либо к позиции не применима.</w:t>
      </w:r>
    </w:p>
    <w:p>
      <w:r>
        <w:rPr>
          <w:color w:val="666666"/>
          <w:sz w:val="17"/>
        </w:rPr>
        <w:t xml:space="preserve">Источник: ИД ч.2 (табл. 4.2, п. 4.2.2, приложение В); ТЗ на БИ ред. 4.1 — границы Лота №3 (п. 6.2) и перечни включаемого и не включаемого в БИ оборудования (п. 6.3)</w:t>
      </w:r>
    </w:p>
    <w:p>
      <w:pPr>
        <w:pStyle w:val="Heading2"/>
      </w:pPr>
      <w:r>
        <w:rPr>
          <w:b/>
          <w:sz w:val="24"/>
        </w:rPr>
        <w:t xml:space="preserve">1.2 Границы лота и охват спецификации</w:t>
      </w:r>
    </w:p>
    <w:p>
      <w:r>
        <w:rPr>
          <w:sz w:val="20"/>
        </w:rPr>
        <w:t xml:space="preserve">Оборудование получения катодной меди. Размещается в существующем корпусе электрорафинирования меди металлургического цеха (ЦЭМ): шаг колонн 24 000 мм, крановый пролёт 22 000 мм. 180 ванн в две серии по 90 шт., каждая серия в отдельном пролёте, обслуживается своим спецкраном.</w:t>
      </w:r>
    </w:p>
    <w:p>
      <w:r>
        <w:rPr>
          <w:sz w:val="20"/>
        </w:rPr>
        <w:t xml:space="preserve">Участки лота по ТЗ: циркуляция и охлаждение электролита; электролизные ванны с аспирационными укрытиями; роботизированная катодосдирочная машина (КСМ); формирование пакетов катодов; ошиновка и токоподвод; спецкраны с системой позиционирования.</w:t>
      </w:r>
    </w:p>
    <w:p>
      <w:r>
        <w:rPr>
          <w:sz w:val="20"/>
        </w:rPr>
        <w:t xml:space="preserve">Режим работы: 358 дней/год, 8585 ч, круглосуточно.</w:t>
      </w:r>
    </w:p>
    <w:p>
      <w:r>
        <w:rPr>
          <w:sz w:val="20"/>
        </w:rPr>
        <w:t xml:space="preserve">Границы проектирования (фланцевые и иные точки передачи потоков) приведены в пояснительной записке и на принципиальной технологической схеме лота; спецификация охватывает оборудование внутри этих границ. Оборудование смежных участков, не входящее в объём Базового инжиниринга, в основную таблицу не включено и приведено справочно в разделе 5 — для увязки границ и выдачи заданий на стыке.</w:t>
      </w:r>
    </w:p>
    <w:p>
      <w:r>
        <w:rPr>
          <w:sz w:val="20"/>
        </w:rPr>
        <w:t xml:space="preserve">По ТЗ в состав Базового инжиниринга Лота №3 не включаются: шины магистральные; выпрямители для ванн электроэкстракции; напорный трубопровод для ванн; сливной трубопровод для ванн; система аспирации от ванн и очистки аспирационных газов; циркуляционные насосы; грузоподъёмное оборудование; нутч-фильтр; оборудование для обработки свинцового шлама и отработанных свинцовых анодов; теплообменники.</w:t>
      </w:r>
    </w:p>
    <w:p>
      <w:r>
        <w:rPr>
          <w:sz w:val="20"/>
        </w:rPr>
        <w:t xml:space="preserve">Связанные документы выпуска по лоту:</w:t>
      </w:r>
    </w:p>
    <w:p>
      <w:r>
        <w:rPr>
          <w:sz w:val="20"/>
        </w:rPr>
        <w:t xml:space="preserve">— ОВЭ75-БИ-Л3-ПЗ — Пояснительная записка</w:t>
      </w:r>
    </w:p>
    <w:p>
      <w:r>
        <w:rPr>
          <w:sz w:val="20"/>
        </w:rPr>
        <w:t xml:space="preserve">— ОВЭ75-БИ-Л3-PFD — Принципиальная технологическая схема (PFD)</w:t>
      </w:r>
    </w:p>
    <w:p>
      <w:r>
        <w:rPr>
          <w:sz w:val="20"/>
        </w:rPr>
        <w:t xml:space="preserve">— ОВЭ75-БИ-Л3-ОЛ — Опросные листы основного оборудования (альбом)</w:t>
      </w:r>
    </w:p>
    <w:p>
      <w:r>
        <w:rPr>
          <w:sz w:val="20"/>
        </w:rPr>
        <w:t xml:space="preserve">— ОВЭ75-БИ-Л3-ДЦ — Исходные требования на длинноцикловое оборудование</w:t>
      </w:r>
    </w:p>
    <w:p>
      <w:r>
        <w:rPr>
          <w:sz w:val="20"/>
        </w:rPr>
        <w:t xml:space="preserve">— ОВЭ75-БИ-Л3-МТ — Требования к монтажу (включая вес самых тяжёлых частей)</w:t>
      </w:r>
    </w:p>
    <w:p>
      <w:r>
        <w:rPr>
          <w:sz w:val="20"/>
        </w:rPr>
        <w:t xml:space="preserve">— ОВЭ75-БИ-Л3-ЭС — Электроснабжение и электрооборудование: однолинейные схемы, предварительный перечень</w:t>
      </w:r>
    </w:p>
    <w:p>
      <w:r>
        <w:rPr>
          <w:sz w:val="20"/>
        </w:rPr>
        <w:t xml:space="preserve">— ОВЭ75-БИ-Л3-LL — Перечень трубопроводов, арматуры и приборов КИПиА (line list)</w:t>
      </w:r>
    </w:p>
    <w:p>
      <w:r>
        <w:rPr>
          <w:sz w:val="20"/>
        </w:rPr>
        <w:t xml:space="preserve">— ОВЭ75-БИ-Л3-СТ — Стоимостной блок: порядок сбора ТКП и бюджетной оценки поставки</w:t>
      </w:r>
    </w:p>
    <w:p>
      <w:pPr>
        <w:pStyle w:val="Heading2"/>
      </w:pPr>
      <w:r>
        <w:rPr>
          <w:b/>
          <w:sz w:val="24"/>
        </w:rPr>
        <w:t xml:space="preserve">1.3 Статусы поставки</w:t>
      </w:r>
    </w:p>
    <w:tbl>
      <w:tblPr>
        <w:tblW w:w="1428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2600"/>
        <w:gridCol w:w="11680"/>
      </w:tblGrid>
      <w:tr>
        <w:trPr>
          <w:tblHeader/>
          <w:cantSplit/>
        </w:trPr>
        <w:tc>
          <w:tcPr>
            <w:tcW w:w="2600" w:type="dxa"/>
            <w:shd w:val="clear" w:fill="EFEFEF"/>
          </w:tcPr>
          <w:p>
            <w:r>
              <w:rPr>
                <w:b/>
                <w:sz w:val="17"/>
              </w:rPr>
              <w:t xml:space="preserve">Статус</w:t>
            </w:r>
          </w:p>
        </w:tc>
        <w:tc>
          <w:tcPr>
            <w:tcW w:w="11680" w:type="dxa"/>
            <w:shd w:val="clear" w:fill="EFEFEF"/>
          </w:tcPr>
          <w:p>
            <w:r>
              <w:rPr>
                <w:b/>
                <w:sz w:val="17"/>
              </w:rPr>
              <w:t xml:space="preserve">Значение</w:t>
            </w:r>
          </w:p>
        </w:tc>
      </w:tr>
      <w:tr>
        <w:trPr>
          <w:cantSplit/>
        </w:trPr>
        <w:tc>
          <w:tcPr>
            <w:tcW w:w="2600" w:type="dxa"/>
          </w:tcPr>
          <w:p>
            <w:r>
              <w:rPr>
                <w:sz w:val="17"/>
              </w:rPr>
              <w:t xml:space="preserve">Закуп</w:t>
            </w:r>
          </w:p>
        </w:tc>
        <w:tc>
          <w:tcPr>
            <w:tcW w:w="11680" w:type="dxa"/>
          </w:tcPr>
          <w:p>
            <w:r>
              <w:rPr>
                <w:sz w:val="17"/>
              </w:rPr>
              <w:t xml:space="preserve">Серийное оборудование; поставляется комплектно изготовителем по результатам запроса технико-коммерческих предложений (не менее 2–3 ТКП на позицию — требование ТЗ).</w:t>
            </w:r>
          </w:p>
        </w:tc>
      </w:tr>
      <w:tr>
        <w:trPr>
          <w:cantSplit/>
        </w:trPr>
        <w:tc>
          <w:tcPr>
            <w:tcW w:w="2600" w:type="dxa"/>
          </w:tcPr>
          <w:p>
            <w:r>
              <w:rPr>
                <w:sz w:val="17"/>
              </w:rPr>
              <w:t xml:space="preserve">Изготовление</w:t>
            </w:r>
          </w:p>
        </w:tc>
        <w:tc>
          <w:tcPr>
            <w:tcW w:w="11680" w:type="dxa"/>
          </w:tcPr>
          <w:p>
            <w:r>
              <w:rPr>
                <w:sz w:val="17"/>
              </w:rPr>
              <w:t xml:space="preserve">Нестандартизированное изделие; изготавливается заводом-изготовителем по техническим требованиям и эскизным чертежам Исполнителя (задание на изготовление).</w:t>
            </w:r>
          </w:p>
        </w:tc>
      </w:tr>
      <w:tr>
        <w:trPr>
          <w:cantSplit/>
        </w:trPr>
        <w:tc>
          <w:tcPr>
            <w:tcW w:w="2600" w:type="dxa"/>
          </w:tcPr>
          <w:p>
            <w:r>
              <w:rPr>
                <w:sz w:val="17"/>
              </w:rPr>
              <w:t xml:space="preserve">Закуп / модернизация</w:t>
            </w:r>
          </w:p>
        </w:tc>
        <w:tc>
          <w:tcPr>
            <w:tcW w:w="11680" w:type="dxa"/>
          </w:tcPr>
          <w:p>
            <w:r>
              <w:rPr>
                <w:sz w:val="17"/>
              </w:rPr>
              <w:t xml:space="preserve">Закупка нового оборудования либо модернизация существующего оборудования Заказчика; выбор — по результатам обследования и ТКП.</w:t>
            </w:r>
          </w:p>
        </w:tc>
      </w:tr>
      <w:tr>
        <w:trPr>
          <w:cantSplit/>
        </w:trPr>
        <w:tc>
          <w:tcPr>
            <w:tcW w:w="2600" w:type="dxa"/>
          </w:tcPr>
          <w:p>
            <w:r>
              <w:rPr>
                <w:sz w:val="17"/>
              </w:rPr>
              <w:t xml:space="preserve">Вне БИ</w:t>
            </w:r>
          </w:p>
        </w:tc>
        <w:tc>
          <w:tcPr>
            <w:tcW w:w="11680" w:type="dxa"/>
          </w:tcPr>
          <w:p>
            <w:r>
              <w:rPr>
                <w:sz w:val="17"/>
              </w:rPr>
              <w:t xml:space="preserve">Позиция в объём Базового инжиниринга по лоту не входит; приводится справочно для увязки границ; в составе БИ по ней выдаётся задание на стыке смежному проектировщику или поставщику.</w:t>
            </w:r>
          </w:p>
        </w:tc>
      </w:tr>
    </w:tbl>
    <w:p>
      <w:r>
        <w:rPr>
          <w:sz w:val="20"/>
        </w:rPr>
        <w:t xml:space="preserve">По документации Исполнителя (технические требования, эскизные чертежи) изготавливаются: циркуляционный бак (бак питания ванн). Комплектно по ТКП изготовителей поставляются 11 позиций из 14. Справочно (вне объёма БИ по лоту) в таблицу включены: выпрямители.</w:t>
      </w:r>
    </w:p>
    <w:p>
      <w:pPr>
        <w:pStyle w:val="Heading1"/>
      </w:pPr>
      <w:r>
        <w:rPr>
          <w:b/>
          <w:sz w:val="28"/>
        </w:rPr>
        <w:t xml:space="preserve">2. Спецификация оборудования Лота №3</w:t>
      </w:r>
    </w:p>
    <w:p>
      <w:r>
        <w:rPr>
          <w:i/>
          <w:color w:val="555555"/>
          <w:sz w:val="18"/>
        </w:rPr>
        <w:t xml:space="preserve">Полужирным выделены ключевые позиции лота — основное оборудование, по которому выпускаются опросные листы и запрашиваются ТКП; перечень основного оборудования закрепляется протоколом с Заказчиком.</w:t>
      </w:r>
    </w:p>
    <w:p>
      <w:pPr>
        <w:pStyle w:val="Heading2"/>
      </w:pPr>
      <w:r>
        <w:rPr>
          <w:b/>
          <w:sz w:val="24"/>
        </w:rPr>
        <w:t xml:space="preserve">2.1 Циркуляция электролита</w:t>
      </w:r>
    </w:p>
    <w:tbl>
      <w:tblPr>
        <w:tblW w:w="1428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520"/>
        <w:gridCol w:w="2350"/>
        <w:gridCol w:w="2150"/>
        <w:gridCol w:w="2500"/>
        <w:gridCol w:w="1100"/>
        <w:gridCol w:w="1400"/>
        <w:gridCol w:w="1750"/>
        <w:gridCol w:w="1150"/>
        <w:gridCol w:w="1360"/>
      </w:tblGrid>
      <w:tr>
        <w:trPr>
          <w:tblHeader/>
          <w:cantSplit/>
        </w:trPr>
        <w:tc>
          <w:tcPr>
            <w:tcW w:w="520" w:type="dxa"/>
            <w:shd w:val="clear" w:fill="EFEFEF"/>
          </w:tcPr>
          <w:p>
            <w:r>
              <w:rPr>
                <w:b/>
                <w:sz w:val="16"/>
              </w:rPr>
              <w:t xml:space="preserve">Поз.</w:t>
            </w:r>
          </w:p>
        </w:tc>
        <w:tc>
          <w:tcPr>
            <w:tcW w:w="2350" w:type="dxa"/>
            <w:shd w:val="clear" w:fill="EFEFEF"/>
          </w:tcPr>
          <w:p>
            <w:r>
              <w:rPr>
                <w:b/>
                <w:sz w:val="16"/>
              </w:rPr>
              <w:t xml:space="preserve">Наименование, тип, модель</w:t>
            </w:r>
          </w:p>
        </w:tc>
        <w:tc>
          <w:tcPr>
            <w:tcW w:w="2150" w:type="dxa"/>
            <w:shd w:val="clear" w:fill="EFEFEF"/>
          </w:tcPr>
          <w:p>
            <w:r>
              <w:rPr>
                <w:b/>
                <w:sz w:val="16"/>
              </w:rPr>
              <w:t xml:space="preserve">Назначение</w:t>
            </w:r>
          </w:p>
        </w:tc>
        <w:tc>
          <w:tcPr>
            <w:tcW w:w="2500" w:type="dxa"/>
            <w:shd w:val="clear" w:fill="EFEFEF"/>
          </w:tcPr>
          <w:p>
            <w:r>
              <w:rPr>
                <w:b/>
                <w:sz w:val="16"/>
              </w:rPr>
              <w:t xml:space="preserve">Основные параметры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6"/>
              </w:rPr>
              <w:t xml:space="preserve">Кол-во</w:t>
            </w:r>
          </w:p>
        </w:tc>
        <w:tc>
          <w:tcPr>
            <w:tcW w:w="1400" w:type="dxa"/>
            <w:shd w:val="clear" w:fill="EFEFEF"/>
          </w:tcPr>
          <w:p>
            <w:r>
              <w:rPr>
                <w:b/>
                <w:sz w:val="16"/>
              </w:rPr>
              <w:t xml:space="preserve">Материал</w:t>
            </w:r>
          </w:p>
        </w:tc>
        <w:tc>
          <w:tcPr>
            <w:tcW w:w="1750" w:type="dxa"/>
            <w:shd w:val="clear" w:fill="EFEFEF"/>
          </w:tcPr>
          <w:p>
            <w:r>
              <w:rPr>
                <w:b/>
                <w:sz w:val="16"/>
              </w:rPr>
              <w:t xml:space="preserve">Габариты, масса</w:t>
            </w:r>
          </w:p>
        </w:tc>
        <w:tc>
          <w:tcPr>
            <w:tcW w:w="1150" w:type="dxa"/>
            <w:shd w:val="clear" w:fill="EFEFEF"/>
          </w:tcPr>
          <w:p>
            <w:r>
              <w:rPr>
                <w:b/>
                <w:sz w:val="16"/>
              </w:rPr>
              <w:t xml:space="preserve">Мощность</w:t>
            </w:r>
          </w:p>
        </w:tc>
        <w:tc>
          <w:tcPr>
            <w:tcW w:w="1360" w:type="dxa"/>
            <w:shd w:val="clear" w:fill="EFEFEF"/>
          </w:tcPr>
          <w:p>
            <w:r>
              <w:rPr>
                <w:b/>
                <w:sz w:val="16"/>
              </w:rPr>
              <w:t xml:space="preserve">Статус поставки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6"/>
              </w:rPr>
              <w:t xml:space="preserve">1</w:t>
            </w:r>
          </w:p>
        </w:tc>
        <w:tc>
          <w:tcPr>
            <w:tcW w:w="2350" w:type="dxa"/>
          </w:tcPr>
          <w:p>
            <w:r>
              <w:rPr>
                <w:b/>
                <w:sz w:val="16"/>
              </w:rPr>
              <w:t xml:space="preserve">Циркуляционный бак (бак питания ванн)</w:t>
            </w:r>
          </w:p>
          <w:p>
            <w:r>
              <w:rPr>
                <w:color w:val="333333"/>
                <w:sz w:val="15"/>
              </w:rPr>
              <w:t xml:space="preserve">Бак с перегородкой</w:t>
            </w:r>
          </w:p>
          <w:p>
            <w:r>
              <w:rPr>
                <w:color w:val="555555"/>
                <w:sz w:val="14"/>
              </w:rPr>
              <w:t xml:space="preserve">Поз. по ИД: 4.2.1</w:t>
            </w:r>
          </w:p>
        </w:tc>
        <w:tc>
          <w:tcPr>
            <w:tcW w:w="2150" w:type="dxa"/>
          </w:tcPr>
          <w:p>
            <w:r>
              <w:rPr>
                <w:sz w:val="16"/>
              </w:rPr>
              <w:t xml:space="preserve">Смешение богатого раствора выщелачивания с бедным электролитом из ванн, приём растворов промывки катодов и системы аспирации, дозирование коллоидной/антиаэрозольной добавки и кислоты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Запас объёма 0,25 ч; поток 1634,5 м³/ч; расч. 408,6 м³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2 (по числу серий)</w:t>
            </w:r>
          </w:p>
        </w:tc>
        <w:tc>
          <w:tcPr>
            <w:tcW w:w="1400" w:type="dxa"/>
          </w:tcPr>
          <w:p>
            <w:r>
              <w:rPr>
                <w:sz w:val="16"/>
              </w:rPr>
              <w:t xml:space="preserve">Конструкционная сталь или армированный бетон с кислотоупорной футеровкой; допускается изготовление по месту</w:t>
            </w:r>
          </w:p>
        </w:tc>
        <w:tc>
          <w:tcPr>
            <w:tcW w:w="1750" w:type="dxa"/>
          </w:tcPr>
          <w:p>
            <w:r>
              <w:rPr>
                <w:sz w:val="16"/>
              </w:rPr>
              <w:t xml:space="preserve">V = 300,0 м³ на нитку; факт. 510,0 м³; коэфф. запаса 1,2</w:t>
            </w:r>
          </w:p>
        </w:tc>
        <w:tc>
          <w:tcPr>
            <w:tcW w:w="1150" w:type="dxa"/>
          </w:tcPr>
          <w:p>
            <w:r>
              <w:rPr>
                <w:sz w:val="16"/>
              </w:rPr>
              <w:t xml:space="preserve">по ТКП</w:t>
            </w:r>
          </w:p>
        </w:tc>
        <w:tc>
          <w:tcPr>
            <w:tcW w:w="1360" w:type="dxa"/>
          </w:tcPr>
          <w:p>
            <w:r>
              <w:rPr>
                <w:sz w:val="16"/>
              </w:rPr>
              <w:t xml:space="preserve">Изготов­ление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6"/>
              </w:rPr>
              <w:t xml:space="preserve">2</w:t>
            </w:r>
          </w:p>
        </w:tc>
        <w:tc>
          <w:tcPr>
            <w:tcW w:w="2350" w:type="dxa"/>
          </w:tcPr>
          <w:p>
            <w:r>
              <w:rPr>
                <w:sz w:val="16"/>
              </w:rPr>
              <w:t xml:space="preserve">Холодильник электролита пластинчатый</w:t>
            </w:r>
          </w:p>
          <w:p>
            <w:r>
              <w:rPr>
                <w:color w:val="333333"/>
                <w:sz w:val="15"/>
              </w:rPr>
              <w:t xml:space="preserve">Пластинчатый теплообменник, охлаждение водой</w:t>
            </w:r>
          </w:p>
          <w:p>
            <w:r>
              <w:rPr>
                <w:color w:val="555555"/>
                <w:sz w:val="14"/>
              </w:rPr>
              <w:t xml:space="preserve">Поз. по ИД: 4.2.2</w:t>
            </w:r>
          </w:p>
        </w:tc>
        <w:tc>
          <w:tcPr>
            <w:tcW w:w="2150" w:type="dxa"/>
          </w:tcPr>
          <w:p>
            <w:r>
              <w:rPr>
                <w:sz w:val="16"/>
              </w:rPr>
              <w:t xml:space="preserve">Охлаждение богатого раствора перед подачей в ванны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Тепловая мощность 3772 кВт расчётная; 50,0 → 48,2 °С по потоку 1634,5 м³/ч; 22,5 → 37,5 °С по воде 216,1 м³/ч</w:t>
            </w:r>
          </w:p>
          <w:p>
            <w:r>
              <w:rPr>
                <w:i/>
                <w:color w:val="555555"/>
                <w:sz w:val="14"/>
              </w:rPr>
              <w:t xml:space="preserve">В состав БИ по Лоту №3 теплообменники не включаются (перечень «не в БИ»), но параметры заданы ИД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2 (по числу серий)</w:t>
            </w:r>
          </w:p>
        </w:tc>
        <w:tc>
          <w:tcPr>
            <w:tcW w:w="1400" w:type="dxa"/>
          </w:tcPr>
          <w:p>
            <w:r>
              <w:rPr>
                <w:sz w:val="16"/>
              </w:rPr>
              <w:t xml:space="preserve">Сталь 316L или аналог</w:t>
            </w:r>
          </w:p>
        </w:tc>
        <w:tc>
          <w:tcPr>
            <w:tcW w:w="1750" w:type="dxa"/>
          </w:tcPr>
          <w:p>
            <w:r>
              <w:rPr>
                <w:sz w:val="16"/>
              </w:rPr>
              <w:t xml:space="preserve">W = 2500 кВт на нитку; факт. 5000 кВт; коэфф. запаса 1,3</w:t>
            </w:r>
          </w:p>
        </w:tc>
        <w:tc>
          <w:tcPr>
            <w:tcW w:w="1150" w:type="dxa"/>
          </w:tcPr>
          <w:p>
            <w:r>
              <w:rPr>
                <w:sz w:val="16"/>
              </w:rPr>
              <w:t xml:space="preserve">по ТКП</w:t>
            </w:r>
          </w:p>
        </w:tc>
        <w:tc>
          <w:tcPr>
            <w:tcW w:w="1360" w:type="dxa"/>
          </w:tcPr>
          <w:p>
            <w:r>
              <w:rPr>
                <w:sz w:val="16"/>
              </w:rPr>
              <w:t xml:space="preserve">Закуп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2.2 Электролиз</w:t>
      </w:r>
    </w:p>
    <w:tbl>
      <w:tblPr>
        <w:tblW w:w="1428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520"/>
        <w:gridCol w:w="2350"/>
        <w:gridCol w:w="2150"/>
        <w:gridCol w:w="2500"/>
        <w:gridCol w:w="1100"/>
        <w:gridCol w:w="1400"/>
        <w:gridCol w:w="1750"/>
        <w:gridCol w:w="1150"/>
        <w:gridCol w:w="1360"/>
      </w:tblGrid>
      <w:tr>
        <w:trPr>
          <w:tblHeader/>
          <w:cantSplit/>
        </w:trPr>
        <w:tc>
          <w:tcPr>
            <w:tcW w:w="520" w:type="dxa"/>
            <w:shd w:val="clear" w:fill="EFEFEF"/>
          </w:tcPr>
          <w:p>
            <w:r>
              <w:rPr>
                <w:b/>
                <w:sz w:val="16"/>
              </w:rPr>
              <w:t xml:space="preserve">Поз.</w:t>
            </w:r>
          </w:p>
        </w:tc>
        <w:tc>
          <w:tcPr>
            <w:tcW w:w="2350" w:type="dxa"/>
            <w:shd w:val="clear" w:fill="EFEFEF"/>
          </w:tcPr>
          <w:p>
            <w:r>
              <w:rPr>
                <w:b/>
                <w:sz w:val="16"/>
              </w:rPr>
              <w:t xml:space="preserve">Наименование, тип, модель</w:t>
            </w:r>
          </w:p>
        </w:tc>
        <w:tc>
          <w:tcPr>
            <w:tcW w:w="2150" w:type="dxa"/>
            <w:shd w:val="clear" w:fill="EFEFEF"/>
          </w:tcPr>
          <w:p>
            <w:r>
              <w:rPr>
                <w:b/>
                <w:sz w:val="16"/>
              </w:rPr>
              <w:t xml:space="preserve">Назначение</w:t>
            </w:r>
          </w:p>
        </w:tc>
        <w:tc>
          <w:tcPr>
            <w:tcW w:w="2500" w:type="dxa"/>
            <w:shd w:val="clear" w:fill="EFEFEF"/>
          </w:tcPr>
          <w:p>
            <w:r>
              <w:rPr>
                <w:b/>
                <w:sz w:val="16"/>
              </w:rPr>
              <w:t xml:space="preserve">Основные параметры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6"/>
              </w:rPr>
              <w:t xml:space="preserve">Кол-во</w:t>
            </w:r>
          </w:p>
        </w:tc>
        <w:tc>
          <w:tcPr>
            <w:tcW w:w="1400" w:type="dxa"/>
            <w:shd w:val="clear" w:fill="EFEFEF"/>
          </w:tcPr>
          <w:p>
            <w:r>
              <w:rPr>
                <w:b/>
                <w:sz w:val="16"/>
              </w:rPr>
              <w:t xml:space="preserve">Материал</w:t>
            </w:r>
          </w:p>
        </w:tc>
        <w:tc>
          <w:tcPr>
            <w:tcW w:w="1750" w:type="dxa"/>
            <w:shd w:val="clear" w:fill="EFEFEF"/>
          </w:tcPr>
          <w:p>
            <w:r>
              <w:rPr>
                <w:b/>
                <w:sz w:val="16"/>
              </w:rPr>
              <w:t xml:space="preserve">Габариты, масса</w:t>
            </w:r>
          </w:p>
        </w:tc>
        <w:tc>
          <w:tcPr>
            <w:tcW w:w="1150" w:type="dxa"/>
            <w:shd w:val="clear" w:fill="EFEFEF"/>
          </w:tcPr>
          <w:p>
            <w:r>
              <w:rPr>
                <w:b/>
                <w:sz w:val="16"/>
              </w:rPr>
              <w:t xml:space="preserve">Мощность</w:t>
            </w:r>
          </w:p>
        </w:tc>
        <w:tc>
          <w:tcPr>
            <w:tcW w:w="1360" w:type="dxa"/>
            <w:shd w:val="clear" w:fill="EFEFEF"/>
          </w:tcPr>
          <w:p>
            <w:r>
              <w:rPr>
                <w:b/>
                <w:sz w:val="16"/>
              </w:rPr>
              <w:t xml:space="preserve">Статус поставки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6"/>
              </w:rPr>
              <w:t xml:space="preserve">3</w:t>
            </w:r>
          </w:p>
        </w:tc>
        <w:tc>
          <w:tcPr>
            <w:tcW w:w="2350" w:type="dxa"/>
          </w:tcPr>
          <w:p>
            <w:r>
              <w:rPr>
                <w:b/>
                <w:sz w:val="16"/>
              </w:rPr>
              <w:t xml:space="preserve">Электролизная ванна</w:t>
            </w:r>
          </w:p>
          <w:p>
            <w:r>
              <w:rPr>
                <w:color w:val="333333"/>
                <w:sz w:val="15"/>
              </w:rPr>
              <w:t xml:space="preserve">Полимербетонные ванны Unicell или аналоги; характеристики по проекту ДЕЛЬТА (ИД ч.2, приложение В)</w:t>
            </w:r>
          </w:p>
          <w:p>
            <w:r>
              <w:rPr>
                <w:color w:val="555555"/>
                <w:sz w:val="14"/>
              </w:rPr>
              <w:t xml:space="preserve">Поз. по ИД: 4.2.3</w:t>
            </w:r>
          </w:p>
        </w:tc>
        <w:tc>
          <w:tcPr>
            <w:tcW w:w="2150" w:type="dxa"/>
          </w:tcPr>
          <w:p>
            <w:r>
              <w:rPr>
                <w:sz w:val="16"/>
              </w:rPr>
              <w:t xml:space="preserve">Электроэкстракция меди из растворов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I факт = 42,45 кА; D расч = 280,0 А/м², D факт = 252,7 А/м²; производительность 49,49 кг/ч на ванну, 8066,1 кг/ч всего</w:t>
            </w:r>
          </w:p>
          <w:p>
            <w:r>
              <w:rPr>
                <w:i/>
                <w:color w:val="555555"/>
                <w:sz w:val="14"/>
              </w:rPr>
              <w:t xml:space="preserve">Конструкция интегрирована с аспирацией: бортовой отсос + легкосъёмный колпак. Дно с уклоном к центру, донная пробка для выгрузки шлама. Чистка от свинцового шлама обычно не чаще 1 раза в год.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180 (2 серии × 90); расчётно 163 шт., коэфф. запаса 1,104</w:t>
            </w:r>
          </w:p>
        </w:tc>
        <w:tc>
          <w:tcPr>
            <w:tcW w:w="1400" w:type="dxa"/>
          </w:tcPr>
          <w:p>
            <w:r>
              <w:rPr>
                <w:sz w:val="16"/>
              </w:rPr>
              <w:t xml:space="preserve">Полимербетон (монолитный винилэфирный композит)</w:t>
            </w:r>
          </w:p>
        </w:tc>
        <w:tc>
          <w:tcPr>
            <w:tcW w:w="1750" w:type="dxa"/>
          </w:tcPr>
          <w:p>
            <w:r>
              <w:rPr>
                <w:sz w:val="16"/>
              </w:rPr>
              <w:t xml:space="preserve">Внутренние габариты 8485 × 1155 × 1650 мм (Д×Ш×В); 84 катода, 85 анодов</w:t>
            </w:r>
          </w:p>
          <w:p>
            <w:r>
              <w:rPr>
                <w:color w:val="333333"/>
                <w:sz w:val="15"/>
              </w:rPr>
              <w:t xml:space="preserve">Масса ванны 8,7 т (180 шт. — 1566 т); закорачивающая рама 8,7 т, подъёмная рама в сборе с закорачивающей 10,0 т; в комплекте: коллектор подачи с креплениями, закладные рельсов нутча, донная пробка, конусы позиционирования крана</w:t>
            </w:r>
          </w:p>
          <w:p>
            <w:r>
              <w:rPr>
                <w:color w:val="666666"/>
                <w:sz w:val="13"/>
              </w:rPr>
              <w:t xml:space="preserve">Источник: ИД ч.2 прил. В; расчёт масс поставки</w:t>
            </w:r>
          </w:p>
        </w:tc>
        <w:tc>
          <w:tcPr>
            <w:tcW w:w="1150" w:type="dxa"/>
          </w:tcPr>
          <w:p>
            <w:r>
              <w:rPr>
                <w:sz w:val="16"/>
              </w:rPr>
              <w:t xml:space="preserve">по ТКП</w:t>
            </w:r>
          </w:p>
        </w:tc>
        <w:tc>
          <w:tcPr>
            <w:tcW w:w="1360" w:type="dxa"/>
          </w:tcPr>
          <w:p>
            <w:r>
              <w:rPr>
                <w:sz w:val="16"/>
              </w:rPr>
              <w:t xml:space="preserve">Закуп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6"/>
              </w:rPr>
              <w:t xml:space="preserve">4</w:t>
            </w:r>
          </w:p>
        </w:tc>
        <w:tc>
          <w:tcPr>
            <w:tcW w:w="2350" w:type="dxa"/>
          </w:tcPr>
          <w:p>
            <w:r>
              <w:rPr>
                <w:b/>
                <w:sz w:val="16"/>
              </w:rPr>
              <w:t xml:space="preserve">Аноды из свинцового сплава</w:t>
            </w:r>
          </w:p>
          <w:p>
            <w:r>
              <w:rPr>
                <w:color w:val="333333"/>
                <w:sz w:val="15"/>
              </w:rPr>
              <w:t xml:space="preserve">Pb-Ca / Pb-Ag сплавы</w:t>
            </w:r>
          </w:p>
        </w:tc>
        <w:tc>
          <w:tcPr>
            <w:tcW w:w="2150" w:type="dxa"/>
          </w:tcPr>
          <w:p>
            <w:r>
              <w:rPr>
                <w:sz w:val="16"/>
              </w:rPr>
              <w:t xml:space="preserve">Аноды ванн электроэкстракции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85 анодов на ванну; расход 2300 шт./год (0,033 шт. на т Cu)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180 × 85 = 15 300 шт. первичная загрузка (расчётно)</w:t>
            </w:r>
          </w:p>
        </w:tc>
        <w:tc>
          <w:tcPr>
            <w:tcW w:w="1400" w:type="dxa"/>
          </w:tcPr>
          <w:p>
            <w:r>
              <w:rPr>
                <w:sz w:val="16"/>
              </w:rPr>
              <w:t xml:space="preserve">Свинцовый сплав</w:t>
            </w:r>
          </w:p>
        </w:tc>
        <w:tc>
          <w:tcPr>
            <w:tcW w:w="1750" w:type="dxa"/>
          </w:tcPr>
          <w:p>
            <w:r>
              <w:rPr>
                <w:sz w:val="15"/>
              </w:rPr>
              <w:t xml:space="preserve">940 × 952 × 6 мм, холоднокатаные, сплав Pb–Ca (0,06–0,08 %)–Sn (1,35–1,5 %); ≈65 кг/шт., первичная загрузка ≈995 т</w:t>
            </w:r>
          </w:p>
          <w:p>
            <w:r>
              <w:rPr>
                <w:color w:val="666666"/>
                <w:sz w:val="13"/>
              </w:rPr>
              <w:t xml:space="preserve">Источник: ИД ч.2 табл. 8.5</w:t>
            </w:r>
          </w:p>
        </w:tc>
        <w:tc>
          <w:tcPr>
            <w:tcW w:w="1150" w:type="dxa"/>
          </w:tcPr>
          <w:p>
            <w:r>
              <w:rPr>
                <w:sz w:val="16"/>
              </w:rPr>
              <w:t xml:space="preserve">по ТКП</w:t>
            </w:r>
          </w:p>
        </w:tc>
        <w:tc>
          <w:tcPr>
            <w:tcW w:w="1360" w:type="dxa"/>
          </w:tcPr>
          <w:p>
            <w:r>
              <w:rPr>
                <w:sz w:val="16"/>
              </w:rPr>
              <w:t xml:space="preserve">Закуп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6"/>
              </w:rPr>
              <w:t xml:space="preserve">5</w:t>
            </w:r>
          </w:p>
        </w:tc>
        <w:tc>
          <w:tcPr>
            <w:tcW w:w="2350" w:type="dxa"/>
          </w:tcPr>
          <w:p>
            <w:r>
              <w:rPr>
                <w:b/>
                <w:sz w:val="16"/>
              </w:rPr>
              <w:t xml:space="preserve">Катодные матрицы (постоянные катоды)</w:t>
            </w:r>
          </w:p>
          <w:p>
            <w:r>
              <w:rPr>
                <w:color w:val="333333"/>
                <w:sz w:val="15"/>
              </w:rPr>
              <w:t xml:space="preserve">Система SPLIT</w:t>
            </w:r>
          </w:p>
        </w:tc>
        <w:tc>
          <w:tcPr>
            <w:tcW w:w="2150" w:type="dxa"/>
          </w:tcPr>
          <w:p>
            <w:r>
              <w:rPr>
                <w:sz w:val="16"/>
              </w:rPr>
              <w:t xml:space="preserve">Матрицы для наращивания катодной меди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84 катода на ванну; расход 1150 шт./год (0,017 шт. на т Cu); масса катода 76,8 кг (6 сут) / 89,7 кг (7 сут) без массы матрицы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180 × 84 = 15 120 шт. первичная загрузка (расчётно)</w:t>
            </w:r>
          </w:p>
        </w:tc>
        <w:tc>
          <w:tcPr>
            <w:tcW w:w="1400" w:type="dxa"/>
          </w:tcPr>
          <w:p>
            <w:r>
              <w:rPr>
                <w:sz w:val="16"/>
              </w:rPr>
              <w:t xml:space="preserve">Нержавеющая сталь</w:t>
            </w:r>
          </w:p>
        </w:tc>
        <w:tc>
          <w:tcPr>
            <w:tcW w:w="1750" w:type="dxa"/>
          </w:tcPr>
          <w:p>
            <w:r>
              <w:rPr>
                <w:sz w:val="15"/>
              </w:rPr>
              <w:t xml:space="preserve">1000 × 1000 × 3,25 мм, сталь 316L, с полипропиленовым обрамлением; 50–55 кг/шт., первичная загрузка 756–832 т</w:t>
            </w:r>
          </w:p>
          <w:p>
            <w:r>
              <w:rPr>
                <w:color w:val="666666"/>
                <w:sz w:val="13"/>
              </w:rPr>
              <w:t xml:space="preserve">Источник: ИД ч.2 табл. 8.5</w:t>
            </w:r>
          </w:p>
        </w:tc>
        <w:tc>
          <w:tcPr>
            <w:tcW w:w="1150" w:type="dxa"/>
          </w:tcPr>
          <w:p>
            <w:r>
              <w:rPr>
                <w:sz w:val="16"/>
              </w:rPr>
              <w:t xml:space="preserve">по ТКП</w:t>
            </w:r>
          </w:p>
        </w:tc>
        <w:tc>
          <w:tcPr>
            <w:tcW w:w="1360" w:type="dxa"/>
          </w:tcPr>
          <w:p>
            <w:r>
              <w:rPr>
                <w:sz w:val="16"/>
              </w:rPr>
              <w:t xml:space="preserve">Закуп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6"/>
              </w:rPr>
              <w:t xml:space="preserve">6</w:t>
            </w:r>
          </w:p>
        </w:tc>
        <w:tc>
          <w:tcPr>
            <w:tcW w:w="2350" w:type="dxa"/>
          </w:tcPr>
          <w:p>
            <w:r>
              <w:rPr>
                <w:sz w:val="16"/>
              </w:rPr>
              <w:t xml:space="preserve">Аспирационные укрытия ванн</w:t>
            </w:r>
          </w:p>
          <w:p>
            <w:r>
              <w:rPr>
                <w:color w:val="333333"/>
                <w:sz w:val="15"/>
              </w:rPr>
              <w:t xml:space="preserve">Бортовой отсос + легкосъёмный колпак</w:t>
            </w:r>
          </w:p>
        </w:tc>
        <w:tc>
          <w:tcPr>
            <w:tcW w:w="2150" w:type="dxa"/>
          </w:tcPr>
          <w:p>
            <w:r>
              <w:rPr>
                <w:sz w:val="16"/>
              </w:rPr>
              <w:t xml:space="preserve">Локальная аспирация ванн, исключающая достижение точки росы под колпаками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Периодическая промывка коллекторов водой против накопления сухих солей; слив промывных растворов в буферную ёмкость или в питание скруббера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180 комплектов</w:t>
            </w:r>
          </w:p>
        </w:tc>
        <w:tc>
          <w:tcPr>
            <w:tcW w:w="1400" w:type="dxa"/>
          </w:tcPr>
          <w:p>
            <w:r>
              <w:rPr>
                <w:sz w:val="16"/>
              </w:rPr>
              <w:t xml:space="preserve">Коррозионностойкое исполнение</w:t>
            </w:r>
          </w:p>
        </w:tc>
        <w:tc>
          <w:tcPr>
            <w:tcW w:w="1750" w:type="dxa"/>
          </w:tcPr>
          <w:p>
            <w:r>
              <w:rPr>
                <w:sz w:val="16"/>
              </w:rPr>
              <w:t xml:space="preserve">по ТКП</w:t>
            </w:r>
          </w:p>
        </w:tc>
        <w:tc>
          <w:tcPr>
            <w:tcW w:w="1150" w:type="dxa"/>
          </w:tcPr>
          <w:p>
            <w:r>
              <w:rPr>
                <w:sz w:val="16"/>
              </w:rPr>
              <w:t xml:space="preserve">по ТКП</w:t>
            </w:r>
          </w:p>
        </w:tc>
        <w:tc>
          <w:tcPr>
            <w:tcW w:w="1360" w:type="dxa"/>
          </w:tcPr>
          <w:p>
            <w:r>
              <w:rPr>
                <w:sz w:val="16"/>
              </w:rPr>
              <w:t xml:space="preserve">Закуп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6"/>
              </w:rPr>
              <w:t xml:space="preserve">7</w:t>
            </w:r>
          </w:p>
        </w:tc>
        <w:tc>
          <w:tcPr>
            <w:tcW w:w="2350" w:type="dxa"/>
          </w:tcPr>
          <w:p>
            <w:r>
              <w:rPr>
                <w:b/>
                <w:sz w:val="16"/>
              </w:rPr>
              <w:t xml:space="preserve">Ошиновка ванн</w:t>
            </w:r>
          </w:p>
          <w:p>
            <w:r>
              <w:rPr>
                <w:color w:val="333333"/>
                <w:sz w:val="15"/>
              </w:rPr>
              <w:t xml:space="preserve">Конструкция с двойным контактом разработки Outotec или аналоги</w:t>
            </w:r>
          </w:p>
        </w:tc>
        <w:tc>
          <w:tcPr>
            <w:tcW w:w="2150" w:type="dxa"/>
          </w:tcPr>
          <w:p>
            <w:r>
              <w:rPr>
                <w:sz w:val="16"/>
              </w:rPr>
              <w:t xml:space="preserve">Токоподвод с уравнительной шиной для анодов и/или катодов — равномерное распределение тока, работа при более высоких плотностях тока и выходе по току</w:t>
            </w:r>
          </w:p>
        </w:tc>
        <w:tc>
          <w:tcPr>
            <w:tcW w:w="2500" w:type="dxa"/>
          </w:tcPr>
          <w:p>
            <w:r>
              <w:rPr>
                <w:sz w:val="15"/>
              </w:rPr>
              <w:t xml:space="preserve">Ток серии 47,0 кА; падение напряжения в межванновой ошиновке ≤ 0,06 В/ванну; концевые шинные мосты серий</w:t>
            </w:r>
          </w:p>
          <w:p>
            <w:r>
              <w:rPr>
                <w:color w:val="666666"/>
                <w:sz w:val="13"/>
              </w:rPr>
              <w:t xml:space="preserve">Источник: ИД ч.2 табл. 4.2; расчёт БИ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Комплект на 180 ванн</w:t>
            </w:r>
          </w:p>
        </w:tc>
        <w:tc>
          <w:tcPr>
            <w:tcW w:w="1400" w:type="dxa"/>
          </w:tcPr>
          <w:p>
            <w:r>
              <w:rPr>
                <w:sz w:val="16"/>
              </w:rPr>
              <w:t xml:space="preserve">Медь</w:t>
            </w:r>
          </w:p>
        </w:tc>
        <w:tc>
          <w:tcPr>
            <w:tcW w:w="1750" w:type="dxa"/>
          </w:tcPr>
          <w:p>
            <w:r>
              <w:rPr>
                <w:sz w:val="16"/>
              </w:rPr>
              <w:t xml:space="preserve">по ТКП</w:t>
            </w:r>
          </w:p>
        </w:tc>
        <w:tc>
          <w:tcPr>
            <w:tcW w:w="1150" w:type="dxa"/>
          </w:tcPr>
          <w:p>
            <w:r>
              <w:rPr>
                <w:sz w:val="16"/>
              </w:rPr>
              <w:t xml:space="preserve">по ТКП</w:t>
            </w:r>
          </w:p>
        </w:tc>
        <w:tc>
          <w:tcPr>
            <w:tcW w:w="1360" w:type="dxa"/>
          </w:tcPr>
          <w:p>
            <w:r>
              <w:rPr>
                <w:sz w:val="16"/>
              </w:rPr>
              <w:t xml:space="preserve">Закуп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2.3 Обработка катодов</w:t>
      </w:r>
    </w:p>
    <w:tbl>
      <w:tblPr>
        <w:tblW w:w="1428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520"/>
        <w:gridCol w:w="2350"/>
        <w:gridCol w:w="2150"/>
        <w:gridCol w:w="2500"/>
        <w:gridCol w:w="1100"/>
        <w:gridCol w:w="1400"/>
        <w:gridCol w:w="1750"/>
        <w:gridCol w:w="1150"/>
        <w:gridCol w:w="1360"/>
      </w:tblGrid>
      <w:tr>
        <w:trPr>
          <w:tblHeader/>
          <w:cantSplit/>
        </w:trPr>
        <w:tc>
          <w:tcPr>
            <w:tcW w:w="520" w:type="dxa"/>
            <w:shd w:val="clear" w:fill="EFEFEF"/>
          </w:tcPr>
          <w:p>
            <w:r>
              <w:rPr>
                <w:b/>
                <w:sz w:val="16"/>
              </w:rPr>
              <w:t xml:space="preserve">Поз.</w:t>
            </w:r>
          </w:p>
        </w:tc>
        <w:tc>
          <w:tcPr>
            <w:tcW w:w="2350" w:type="dxa"/>
            <w:shd w:val="clear" w:fill="EFEFEF"/>
          </w:tcPr>
          <w:p>
            <w:r>
              <w:rPr>
                <w:b/>
                <w:sz w:val="16"/>
              </w:rPr>
              <w:t xml:space="preserve">Наименование, тип, модель</w:t>
            </w:r>
          </w:p>
        </w:tc>
        <w:tc>
          <w:tcPr>
            <w:tcW w:w="2150" w:type="dxa"/>
            <w:shd w:val="clear" w:fill="EFEFEF"/>
          </w:tcPr>
          <w:p>
            <w:r>
              <w:rPr>
                <w:b/>
                <w:sz w:val="16"/>
              </w:rPr>
              <w:t xml:space="preserve">Назначение</w:t>
            </w:r>
          </w:p>
        </w:tc>
        <w:tc>
          <w:tcPr>
            <w:tcW w:w="2500" w:type="dxa"/>
            <w:shd w:val="clear" w:fill="EFEFEF"/>
          </w:tcPr>
          <w:p>
            <w:r>
              <w:rPr>
                <w:b/>
                <w:sz w:val="16"/>
              </w:rPr>
              <w:t xml:space="preserve">Основные параметры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6"/>
              </w:rPr>
              <w:t xml:space="preserve">Кол-во</w:t>
            </w:r>
          </w:p>
        </w:tc>
        <w:tc>
          <w:tcPr>
            <w:tcW w:w="1400" w:type="dxa"/>
            <w:shd w:val="clear" w:fill="EFEFEF"/>
          </w:tcPr>
          <w:p>
            <w:r>
              <w:rPr>
                <w:b/>
                <w:sz w:val="16"/>
              </w:rPr>
              <w:t xml:space="preserve">Материал</w:t>
            </w:r>
          </w:p>
        </w:tc>
        <w:tc>
          <w:tcPr>
            <w:tcW w:w="1750" w:type="dxa"/>
            <w:shd w:val="clear" w:fill="EFEFEF"/>
          </w:tcPr>
          <w:p>
            <w:r>
              <w:rPr>
                <w:b/>
                <w:sz w:val="16"/>
              </w:rPr>
              <w:t xml:space="preserve">Габариты, масса</w:t>
            </w:r>
          </w:p>
        </w:tc>
        <w:tc>
          <w:tcPr>
            <w:tcW w:w="1150" w:type="dxa"/>
            <w:shd w:val="clear" w:fill="EFEFEF"/>
          </w:tcPr>
          <w:p>
            <w:r>
              <w:rPr>
                <w:b/>
                <w:sz w:val="16"/>
              </w:rPr>
              <w:t xml:space="preserve">Мощность</w:t>
            </w:r>
          </w:p>
        </w:tc>
        <w:tc>
          <w:tcPr>
            <w:tcW w:w="1360" w:type="dxa"/>
            <w:shd w:val="clear" w:fill="EFEFEF"/>
          </w:tcPr>
          <w:p>
            <w:r>
              <w:rPr>
                <w:b/>
                <w:sz w:val="16"/>
              </w:rPr>
              <w:t xml:space="preserve">Статус поставки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6"/>
              </w:rPr>
              <w:t xml:space="preserve">8</w:t>
            </w:r>
          </w:p>
        </w:tc>
        <w:tc>
          <w:tcPr>
            <w:tcW w:w="2350" w:type="dxa"/>
          </w:tcPr>
          <w:p>
            <w:r>
              <w:rPr>
                <w:b/>
                <w:sz w:val="16"/>
              </w:rPr>
              <w:t xml:space="preserve">Роботизированная катодосдирочная машина (КСМ)</w:t>
            </w:r>
          </w:p>
          <w:p>
            <w:r>
              <w:rPr>
                <w:color w:val="333333"/>
                <w:sz w:val="15"/>
              </w:rPr>
              <w:t xml:space="preserve">Референс — поставка Outotec: роботы KUKA KR 300 (подающий) и KR 180 (выгружающий)</w:t>
            </w:r>
          </w:p>
        </w:tc>
        <w:tc>
          <w:tcPr>
            <w:tcW w:w="2150" w:type="dxa"/>
          </w:tcPr>
          <w:p>
            <w:r>
              <w:rPr>
                <w:sz w:val="16"/>
              </w:rPr>
              <w:t xml:space="preserve">Полный цикл обработки катодов: промывка, отделение осадка от матриц, оптический контроль и разбраковка, пакетирование, автоматический пробоотбор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Расчётная производительность 105 шт./ч, принято 120 шт./ч (референс Outotec — 250 матриц/ч); точность позиционирования до 1 мм; персонал 1 чел.</w:t>
            </w:r>
          </w:p>
          <w:p>
            <w:r>
              <w:rPr>
                <w:color w:val="333333"/>
                <w:sz w:val="15"/>
              </w:rPr>
              <w:t xml:space="preserve">Катодный шаг 95 мм (референсное значение 100 мм приводится к фактическому)</w:t>
            </w:r>
          </w:p>
          <w:p>
            <w:r>
              <w:rPr>
                <w:color w:val="666666"/>
                <w:sz w:val="13"/>
              </w:rPr>
              <w:t xml:space="preserve">Источник: ИД ч.2 прил. В</w:t>
            </w:r>
          </w:p>
          <w:p>
            <w:r>
              <w:rPr>
                <w:i/>
                <w:color w:val="555555"/>
                <w:sz w:val="14"/>
              </w:rPr>
              <w:t xml:space="preserve">Обязательно: разделение двух пластин без сращивания по нижней кромке; электронный реестр парка матриц; «перфорация» пакета профилированием листов; пакеты 1400–2000 кг (по сбыту — 2500 ± 50 кг, увязка тремя коррозионностойкими лентами)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1</w:t>
            </w:r>
          </w:p>
        </w:tc>
        <w:tc>
          <w:tcPr>
            <w:tcW w:w="1400" w:type="dxa"/>
          </w:tcPr>
          <w:p>
            <w:r>
              <w:rPr>
                <w:sz w:val="16"/>
              </w:rPr>
              <w:t xml:space="preserve">Конструкционная и нержавеющая сталь, ПВХ, полипропилен</w:t>
            </w:r>
          </w:p>
        </w:tc>
        <w:tc>
          <w:tcPr>
            <w:tcW w:w="1750" w:type="dxa"/>
          </w:tcPr>
          <w:p>
            <w:r>
              <w:rPr>
                <w:sz w:val="16"/>
              </w:rPr>
              <w:t xml:space="preserve">380 В 50 Гц, управление 220 В; гидравлика 120 бар, пневматика 6 бар; охлаждающая вода 1,5 бар, ≤30 °С, 25 л/мин; промывка I ст. 25 м³/ч 60–80 °С, II ст. 4 м³/ч 90–115 °С</w:t>
            </w:r>
          </w:p>
        </w:tc>
        <w:tc>
          <w:tcPr>
            <w:tcW w:w="1150" w:type="dxa"/>
          </w:tcPr>
          <w:p>
            <w:r>
              <w:rPr>
                <w:sz w:val="16"/>
              </w:rPr>
              <w:t xml:space="preserve">Установленная мощность 125 кВт, потребляемая 105 кВт</w:t>
            </w:r>
          </w:p>
        </w:tc>
        <w:tc>
          <w:tcPr>
            <w:tcW w:w="1360" w:type="dxa"/>
          </w:tcPr>
          <w:p>
            <w:r>
              <w:rPr>
                <w:sz w:val="16"/>
              </w:rPr>
              <w:t xml:space="preserve">Закуп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6"/>
              </w:rPr>
              <w:t xml:space="preserve">9</w:t>
            </w:r>
          </w:p>
        </w:tc>
        <w:tc>
          <w:tcPr>
            <w:tcW w:w="2350" w:type="dxa"/>
          </w:tcPr>
          <w:p>
            <w:r>
              <w:rPr>
                <w:sz w:val="16"/>
              </w:rPr>
              <w:t xml:space="preserve">Оборудование формирования пакетов катодов</w:t>
            </w:r>
          </w:p>
        </w:tc>
        <w:tc>
          <w:tcPr>
            <w:tcW w:w="2150" w:type="dxa"/>
          </w:tcPr>
          <w:p>
            <w:r>
              <w:rPr>
                <w:sz w:val="16"/>
              </w:rPr>
              <w:t xml:space="preserve">Укладка, весовой контроль, маркировка, увязка, «перфорация» пакета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Пакеты 1400–2000 кг (сбыт требует 2500 ± 50 кг)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Комплект</w:t>
            </w:r>
          </w:p>
        </w:tc>
        <w:tc>
          <w:tcPr>
            <w:tcW w:w="1400" w:type="dxa"/>
          </w:tcPr>
          <w:p>
            <w:r>
              <w:rPr>
                <w:sz w:val="16"/>
              </w:rPr>
              <w:t xml:space="preserve">—</w:t>
            </w:r>
          </w:p>
        </w:tc>
        <w:tc>
          <w:tcPr>
            <w:tcW w:w="1750" w:type="dxa"/>
          </w:tcPr>
          <w:p>
            <w:r>
              <w:rPr>
                <w:sz w:val="16"/>
              </w:rPr>
              <w:t xml:space="preserve">по ТКП</w:t>
            </w:r>
          </w:p>
        </w:tc>
        <w:tc>
          <w:tcPr>
            <w:tcW w:w="1150" w:type="dxa"/>
          </w:tcPr>
          <w:p>
            <w:r>
              <w:rPr>
                <w:sz w:val="16"/>
              </w:rPr>
              <w:t xml:space="preserve">по ТКП</w:t>
            </w:r>
          </w:p>
        </w:tc>
        <w:tc>
          <w:tcPr>
            <w:tcW w:w="1360" w:type="dxa"/>
          </w:tcPr>
          <w:p>
            <w:r>
              <w:rPr>
                <w:sz w:val="16"/>
              </w:rPr>
              <w:t xml:space="preserve">Закуп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6"/>
              </w:rPr>
              <w:t xml:space="preserve">10</w:t>
            </w:r>
          </w:p>
        </w:tc>
        <w:tc>
          <w:tcPr>
            <w:tcW w:w="2350" w:type="dxa"/>
          </w:tcPr>
          <w:p>
            <w:r>
              <w:rPr>
                <w:sz w:val="16"/>
              </w:rPr>
              <w:t xml:space="preserve">Оборудование автоматической изоляции кромок матриц</w:t>
            </w:r>
          </w:p>
        </w:tc>
        <w:tc>
          <w:tcPr>
            <w:tcW w:w="2150" w:type="dxa"/>
          </w:tcPr>
          <w:p>
            <w:r>
              <w:rPr>
                <w:sz w:val="16"/>
              </w:rPr>
              <w:t xml:space="preserve">Нанесение изоляции кромок катодных матриц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Полипропиленовый профиль — расход 2770 кг/год</w:t>
            </w:r>
          </w:p>
          <w:p>
            <w:r>
              <w:rPr>
                <w:color w:val="333333"/>
                <w:sz w:val="15"/>
              </w:rPr>
              <w:t xml:space="preserve">Полипропиленовый профиль 1170 × 22,5 × 10 мм</w:t>
            </w:r>
          </w:p>
          <w:p>
            <w:r>
              <w:rPr>
                <w:color w:val="666666"/>
                <w:sz w:val="13"/>
              </w:rPr>
              <w:t xml:space="preserve">Источник: ИД ч.2 табл. 4.2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Комплект</w:t>
            </w:r>
          </w:p>
        </w:tc>
        <w:tc>
          <w:tcPr>
            <w:tcW w:w="1400" w:type="dxa"/>
          </w:tcPr>
          <w:p>
            <w:r>
              <w:rPr>
                <w:sz w:val="16"/>
              </w:rPr>
              <w:t xml:space="preserve">—</w:t>
            </w:r>
          </w:p>
        </w:tc>
        <w:tc>
          <w:tcPr>
            <w:tcW w:w="1750" w:type="dxa"/>
          </w:tcPr>
          <w:p>
            <w:r>
              <w:rPr>
                <w:sz w:val="16"/>
              </w:rPr>
              <w:t xml:space="preserve">по ТКП</w:t>
            </w:r>
          </w:p>
        </w:tc>
        <w:tc>
          <w:tcPr>
            <w:tcW w:w="1150" w:type="dxa"/>
          </w:tcPr>
          <w:p>
            <w:r>
              <w:rPr>
                <w:sz w:val="16"/>
              </w:rPr>
              <w:t xml:space="preserve">по ТКП</w:t>
            </w:r>
          </w:p>
        </w:tc>
        <w:tc>
          <w:tcPr>
            <w:tcW w:w="1360" w:type="dxa"/>
          </w:tcPr>
          <w:p>
            <w:r>
              <w:rPr>
                <w:sz w:val="16"/>
              </w:rPr>
              <w:t xml:space="preserve">Закуп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2.4 Подъёмно-транспортное оборудование</w:t>
      </w:r>
    </w:p>
    <w:tbl>
      <w:tblPr>
        <w:tblW w:w="1428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520"/>
        <w:gridCol w:w="2350"/>
        <w:gridCol w:w="2150"/>
        <w:gridCol w:w="2500"/>
        <w:gridCol w:w="1100"/>
        <w:gridCol w:w="1400"/>
        <w:gridCol w:w="1750"/>
        <w:gridCol w:w="1150"/>
        <w:gridCol w:w="1360"/>
      </w:tblGrid>
      <w:tr>
        <w:trPr>
          <w:tblHeader/>
          <w:cantSplit/>
        </w:trPr>
        <w:tc>
          <w:tcPr>
            <w:tcW w:w="520" w:type="dxa"/>
            <w:shd w:val="clear" w:fill="EFEFEF"/>
          </w:tcPr>
          <w:p>
            <w:r>
              <w:rPr>
                <w:b/>
                <w:sz w:val="16"/>
              </w:rPr>
              <w:t xml:space="preserve">Поз.</w:t>
            </w:r>
          </w:p>
        </w:tc>
        <w:tc>
          <w:tcPr>
            <w:tcW w:w="2350" w:type="dxa"/>
            <w:shd w:val="clear" w:fill="EFEFEF"/>
          </w:tcPr>
          <w:p>
            <w:r>
              <w:rPr>
                <w:b/>
                <w:sz w:val="16"/>
              </w:rPr>
              <w:t xml:space="preserve">Наименование, тип, модель</w:t>
            </w:r>
          </w:p>
        </w:tc>
        <w:tc>
          <w:tcPr>
            <w:tcW w:w="2150" w:type="dxa"/>
            <w:shd w:val="clear" w:fill="EFEFEF"/>
          </w:tcPr>
          <w:p>
            <w:r>
              <w:rPr>
                <w:b/>
                <w:sz w:val="16"/>
              </w:rPr>
              <w:t xml:space="preserve">Назначение</w:t>
            </w:r>
          </w:p>
        </w:tc>
        <w:tc>
          <w:tcPr>
            <w:tcW w:w="2500" w:type="dxa"/>
            <w:shd w:val="clear" w:fill="EFEFEF"/>
          </w:tcPr>
          <w:p>
            <w:r>
              <w:rPr>
                <w:b/>
                <w:sz w:val="16"/>
              </w:rPr>
              <w:t xml:space="preserve">Основные параметры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6"/>
              </w:rPr>
              <w:t xml:space="preserve">Кол-во</w:t>
            </w:r>
          </w:p>
        </w:tc>
        <w:tc>
          <w:tcPr>
            <w:tcW w:w="1400" w:type="dxa"/>
            <w:shd w:val="clear" w:fill="EFEFEF"/>
          </w:tcPr>
          <w:p>
            <w:r>
              <w:rPr>
                <w:b/>
                <w:sz w:val="16"/>
              </w:rPr>
              <w:t xml:space="preserve">Материал</w:t>
            </w:r>
          </w:p>
        </w:tc>
        <w:tc>
          <w:tcPr>
            <w:tcW w:w="1750" w:type="dxa"/>
            <w:shd w:val="clear" w:fill="EFEFEF"/>
          </w:tcPr>
          <w:p>
            <w:r>
              <w:rPr>
                <w:b/>
                <w:sz w:val="16"/>
              </w:rPr>
              <w:t xml:space="preserve">Габариты, масса</w:t>
            </w:r>
          </w:p>
        </w:tc>
        <w:tc>
          <w:tcPr>
            <w:tcW w:w="1150" w:type="dxa"/>
            <w:shd w:val="clear" w:fill="EFEFEF"/>
          </w:tcPr>
          <w:p>
            <w:r>
              <w:rPr>
                <w:b/>
                <w:sz w:val="16"/>
              </w:rPr>
              <w:t xml:space="preserve">Мощность</w:t>
            </w:r>
          </w:p>
        </w:tc>
        <w:tc>
          <w:tcPr>
            <w:tcW w:w="1360" w:type="dxa"/>
            <w:shd w:val="clear" w:fill="EFEFEF"/>
          </w:tcPr>
          <w:p>
            <w:r>
              <w:rPr>
                <w:b/>
                <w:sz w:val="16"/>
              </w:rPr>
              <w:t xml:space="preserve">Статус поставки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6"/>
              </w:rPr>
              <w:t xml:space="preserve">11</w:t>
            </w:r>
          </w:p>
        </w:tc>
        <w:tc>
          <w:tcPr>
            <w:tcW w:w="2350" w:type="dxa"/>
          </w:tcPr>
          <w:p>
            <w:r>
              <w:rPr>
                <w:b/>
                <w:sz w:val="16"/>
              </w:rPr>
              <w:t xml:space="preserve">Специальные автоматические краны с системой позиционирования</w:t>
            </w:r>
          </w:p>
        </w:tc>
        <w:tc>
          <w:tcPr>
            <w:tcW w:w="2150" w:type="dxa"/>
          </w:tcPr>
          <w:p>
            <w:r>
              <w:rPr>
                <w:sz w:val="16"/>
              </w:rPr>
              <w:t xml:space="preserve">Съём/установка колпаков, выгрузка катодов (1/3 ванны с равномерным шагом), транспортировка в КСМ и обратно, пошаговая установка матриц; ручной режим — замена анодов и чистка ванн от шлама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График выгрузки формируется в зависимости от плана-задания и токовой нагрузки; комплектуются бороной и поддоном для сбора проливов; рекомендуется система ИК-датчиков контроля контактного хозяйства и КЗ в ваннах</w:t>
            </w:r>
          </w:p>
          <w:p>
            <w:r>
              <w:rPr>
                <w:i/>
                <w:color w:val="555555"/>
                <w:sz w:val="14"/>
              </w:rPr>
              <w:t xml:space="preserve">Рекомендуется использовать существующее подъёмно-транспортное оборудование ЦЭМ после модернизации (при необходимости)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2 (по одному на серию/пролёт)</w:t>
            </w:r>
          </w:p>
        </w:tc>
        <w:tc>
          <w:tcPr>
            <w:tcW w:w="1400" w:type="dxa"/>
          </w:tcPr>
          <w:p>
            <w:r>
              <w:rPr>
                <w:sz w:val="16"/>
              </w:rPr>
              <w:t xml:space="preserve">Металлические элементы и оснастка — нерж. сталь 316L или аналог</w:t>
            </w:r>
          </w:p>
        </w:tc>
        <w:tc>
          <w:tcPr>
            <w:tcW w:w="1750" w:type="dxa"/>
          </w:tcPr>
          <w:p>
            <w:r>
              <w:rPr>
                <w:sz w:val="15"/>
              </w:rPr>
              <w:t xml:space="preserve">Грузоподъёмность ориентировочно 16–20 т (полный комплект 84 матриц с осадком 11,6 т + траверса с поддоном 3–5 т); режим работы не легче А6/М7</w:t>
            </w:r>
          </w:p>
          <w:p>
            <w:r>
              <w:rPr>
                <w:color w:val="666666"/>
                <w:sz w:val="13"/>
              </w:rPr>
              <w:t xml:space="preserve">Источник: расчёт БИ по ИД ч.2 п. 4.2.2</w:t>
            </w:r>
          </w:p>
        </w:tc>
        <w:tc>
          <w:tcPr>
            <w:tcW w:w="1150" w:type="dxa"/>
          </w:tcPr>
          <w:p>
            <w:r>
              <w:rPr>
                <w:sz w:val="16"/>
              </w:rPr>
              <w:t xml:space="preserve">по ТКП</w:t>
            </w:r>
          </w:p>
        </w:tc>
        <w:tc>
          <w:tcPr>
            <w:tcW w:w="1360" w:type="dxa"/>
          </w:tcPr>
          <w:p>
            <w:r>
              <w:rPr>
                <w:sz w:val="16"/>
              </w:rPr>
              <w:t xml:space="preserve">Закуп / модерни­зация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6"/>
              </w:rPr>
              <w:t xml:space="preserve">12</w:t>
            </w:r>
          </w:p>
        </w:tc>
        <w:tc>
          <w:tcPr>
            <w:tcW w:w="2350" w:type="dxa"/>
          </w:tcPr>
          <w:p>
            <w:r>
              <w:rPr>
                <w:sz w:val="16"/>
              </w:rPr>
              <w:t xml:space="preserve">Автоматизированная транспортировка пакетов катодной меди на СГП</w:t>
            </w:r>
          </w:p>
        </w:tc>
        <w:tc>
          <w:tcPr>
            <w:tcW w:w="2150" w:type="dxa"/>
          </w:tcPr>
          <w:p>
            <w:r>
              <w:rPr>
                <w:sz w:val="16"/>
              </w:rPr>
              <w:t xml:space="preserve">Передача пакетов в помещение склада готовой продукции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—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Комплект</w:t>
            </w:r>
          </w:p>
        </w:tc>
        <w:tc>
          <w:tcPr>
            <w:tcW w:w="1400" w:type="dxa"/>
          </w:tcPr>
          <w:p>
            <w:r>
              <w:rPr>
                <w:sz w:val="16"/>
              </w:rPr>
              <w:t xml:space="preserve">—</w:t>
            </w:r>
          </w:p>
        </w:tc>
        <w:tc>
          <w:tcPr>
            <w:tcW w:w="1750" w:type="dxa"/>
          </w:tcPr>
          <w:p>
            <w:r>
              <w:rPr>
                <w:sz w:val="16"/>
              </w:rPr>
              <w:t xml:space="preserve">по ТКП</w:t>
            </w:r>
          </w:p>
        </w:tc>
        <w:tc>
          <w:tcPr>
            <w:tcW w:w="1150" w:type="dxa"/>
          </w:tcPr>
          <w:p>
            <w:r>
              <w:rPr>
                <w:sz w:val="16"/>
              </w:rPr>
              <w:t xml:space="preserve">по ТКП</w:t>
            </w:r>
          </w:p>
        </w:tc>
        <w:tc>
          <w:tcPr>
            <w:tcW w:w="1360" w:type="dxa"/>
          </w:tcPr>
          <w:p>
            <w:r>
              <w:rPr>
                <w:sz w:val="16"/>
              </w:rPr>
              <w:t xml:space="preserve">Закуп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2.5 Реагентное хозяйство (позиции вне табл. 4.2 ИД ч.2)</w:t>
      </w:r>
    </w:p>
    <w:tbl>
      <w:tblPr>
        <w:tblW w:w="1428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520"/>
        <w:gridCol w:w="2350"/>
        <w:gridCol w:w="2150"/>
        <w:gridCol w:w="2500"/>
        <w:gridCol w:w="1100"/>
        <w:gridCol w:w="1400"/>
        <w:gridCol w:w="1750"/>
        <w:gridCol w:w="1150"/>
        <w:gridCol w:w="1360"/>
      </w:tblGrid>
      <w:tr>
        <w:trPr>
          <w:tblHeader/>
          <w:cantSplit/>
        </w:trPr>
        <w:tc>
          <w:tcPr>
            <w:tcW w:w="520" w:type="dxa"/>
            <w:shd w:val="clear" w:fill="EFEFEF"/>
          </w:tcPr>
          <w:p>
            <w:r>
              <w:rPr>
                <w:b/>
                <w:sz w:val="16"/>
              </w:rPr>
              <w:t xml:space="preserve">Поз.</w:t>
            </w:r>
          </w:p>
        </w:tc>
        <w:tc>
          <w:tcPr>
            <w:tcW w:w="2350" w:type="dxa"/>
            <w:shd w:val="clear" w:fill="EFEFEF"/>
          </w:tcPr>
          <w:p>
            <w:r>
              <w:rPr>
                <w:b/>
                <w:sz w:val="16"/>
              </w:rPr>
              <w:t xml:space="preserve">Наименование, тип, модель</w:t>
            </w:r>
          </w:p>
        </w:tc>
        <w:tc>
          <w:tcPr>
            <w:tcW w:w="2150" w:type="dxa"/>
            <w:shd w:val="clear" w:fill="EFEFEF"/>
          </w:tcPr>
          <w:p>
            <w:r>
              <w:rPr>
                <w:b/>
                <w:sz w:val="16"/>
              </w:rPr>
              <w:t xml:space="preserve">Назначение</w:t>
            </w:r>
          </w:p>
        </w:tc>
        <w:tc>
          <w:tcPr>
            <w:tcW w:w="2500" w:type="dxa"/>
            <w:shd w:val="clear" w:fill="EFEFEF"/>
          </w:tcPr>
          <w:p>
            <w:r>
              <w:rPr>
                <w:b/>
                <w:sz w:val="16"/>
              </w:rPr>
              <w:t xml:space="preserve">Основные параметры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6"/>
              </w:rPr>
              <w:t xml:space="preserve">Кол-во</w:t>
            </w:r>
          </w:p>
        </w:tc>
        <w:tc>
          <w:tcPr>
            <w:tcW w:w="1400" w:type="dxa"/>
            <w:shd w:val="clear" w:fill="EFEFEF"/>
          </w:tcPr>
          <w:p>
            <w:r>
              <w:rPr>
                <w:b/>
                <w:sz w:val="16"/>
              </w:rPr>
              <w:t xml:space="preserve">Материал</w:t>
            </w:r>
          </w:p>
        </w:tc>
        <w:tc>
          <w:tcPr>
            <w:tcW w:w="1750" w:type="dxa"/>
            <w:shd w:val="clear" w:fill="EFEFEF"/>
          </w:tcPr>
          <w:p>
            <w:r>
              <w:rPr>
                <w:b/>
                <w:sz w:val="16"/>
              </w:rPr>
              <w:t xml:space="preserve">Габариты, масса</w:t>
            </w:r>
          </w:p>
        </w:tc>
        <w:tc>
          <w:tcPr>
            <w:tcW w:w="1150" w:type="dxa"/>
            <w:shd w:val="clear" w:fill="EFEFEF"/>
          </w:tcPr>
          <w:p>
            <w:r>
              <w:rPr>
                <w:b/>
                <w:sz w:val="16"/>
              </w:rPr>
              <w:t xml:space="preserve">Мощность</w:t>
            </w:r>
          </w:p>
        </w:tc>
        <w:tc>
          <w:tcPr>
            <w:tcW w:w="1360" w:type="dxa"/>
            <w:shd w:val="clear" w:fill="EFEFEF"/>
          </w:tcPr>
          <w:p>
            <w:r>
              <w:rPr>
                <w:b/>
                <w:sz w:val="16"/>
              </w:rPr>
              <w:t xml:space="preserve">Статус поставки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6"/>
              </w:rPr>
              <w:t xml:space="preserve">13</w:t>
            </w:r>
          </w:p>
        </w:tc>
        <w:tc>
          <w:tcPr>
            <w:tcW w:w="2350" w:type="dxa"/>
          </w:tcPr>
          <w:p>
            <w:r>
              <w:rPr>
                <w:sz w:val="16"/>
              </w:rPr>
              <w:t xml:space="preserve">Ёмкости приготовления, хранения и дозирования коллоидной добавки</w:t>
            </w:r>
          </w:p>
        </w:tc>
        <w:tc>
          <w:tcPr>
            <w:tcW w:w="2150" w:type="dxa"/>
          </w:tcPr>
          <w:p>
            <w:r>
              <w:rPr>
                <w:sz w:val="16"/>
              </w:rPr>
              <w:t xml:space="preserve">Приготовление раствора гуартека (медленное растворение в тёплой воде при умеренном перемешивании) и дозирование в циркуляционные баки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Объём обеспечивает работу от каждой ≥12 ч; тихоходные рамные мешалки</w:t>
            </w:r>
          </w:p>
          <w:p>
            <w:r>
              <w:rPr>
                <w:color w:val="333333"/>
                <w:sz w:val="15"/>
              </w:rPr>
              <w:t xml:space="preserve">В составе реагентного хозяйства также: узел добавки FC-1100 (исполнение под аналоги), узлы дозирования H₂SO₄ ≈0,33 т/ч и HCl 33 % до 0,55 кг/ч</w:t>
            </w:r>
          </w:p>
          <w:p>
            <w:r>
              <w:rPr>
                <w:color w:val="666666"/>
                <w:sz w:val="13"/>
              </w:rPr>
              <w:t xml:space="preserve">Источник: ИД ч.2 п. 1.3.13–1.3.14, прил. Б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2 (поочерёдно работающие)</w:t>
            </w:r>
          </w:p>
        </w:tc>
        <w:tc>
          <w:tcPr>
            <w:tcW w:w="1400" w:type="dxa"/>
          </w:tcPr>
          <w:p>
            <w:r>
              <w:rPr>
                <w:sz w:val="16"/>
              </w:rPr>
              <w:t xml:space="preserve">—</w:t>
            </w:r>
          </w:p>
        </w:tc>
        <w:tc>
          <w:tcPr>
            <w:tcW w:w="1750" w:type="dxa"/>
          </w:tcPr>
          <w:p>
            <w:r>
              <w:rPr>
                <w:sz w:val="16"/>
              </w:rPr>
              <w:t xml:space="preserve">по ТКП</w:t>
            </w:r>
          </w:p>
        </w:tc>
        <w:tc>
          <w:tcPr>
            <w:tcW w:w="1150" w:type="dxa"/>
          </w:tcPr>
          <w:p>
            <w:r>
              <w:rPr>
                <w:sz w:val="16"/>
              </w:rPr>
              <w:t xml:space="preserve">по ТКП</w:t>
            </w:r>
          </w:p>
        </w:tc>
        <w:tc>
          <w:tcPr>
            <w:tcW w:w="1360" w:type="dxa"/>
          </w:tcPr>
          <w:p>
            <w:r>
              <w:rPr>
                <w:sz w:val="16"/>
              </w:rPr>
              <w:t xml:space="preserve">Закуп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2.6 Питание постоянным током (вне объёма БИ по Лоту №3)</w:t>
      </w:r>
    </w:p>
    <w:tbl>
      <w:tblPr>
        <w:tblW w:w="1428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520"/>
        <w:gridCol w:w="2350"/>
        <w:gridCol w:w="2150"/>
        <w:gridCol w:w="2500"/>
        <w:gridCol w:w="1100"/>
        <w:gridCol w:w="1400"/>
        <w:gridCol w:w="1750"/>
        <w:gridCol w:w="1150"/>
        <w:gridCol w:w="1360"/>
      </w:tblGrid>
      <w:tr>
        <w:trPr>
          <w:tblHeader/>
          <w:cantSplit/>
        </w:trPr>
        <w:tc>
          <w:tcPr>
            <w:tcW w:w="520" w:type="dxa"/>
            <w:shd w:val="clear" w:fill="EFEFEF"/>
          </w:tcPr>
          <w:p>
            <w:r>
              <w:rPr>
                <w:b/>
                <w:sz w:val="16"/>
              </w:rPr>
              <w:t xml:space="preserve">Поз.</w:t>
            </w:r>
          </w:p>
        </w:tc>
        <w:tc>
          <w:tcPr>
            <w:tcW w:w="2350" w:type="dxa"/>
            <w:shd w:val="clear" w:fill="EFEFEF"/>
          </w:tcPr>
          <w:p>
            <w:r>
              <w:rPr>
                <w:b/>
                <w:sz w:val="16"/>
              </w:rPr>
              <w:t xml:space="preserve">Наименование, тип, модель</w:t>
            </w:r>
          </w:p>
        </w:tc>
        <w:tc>
          <w:tcPr>
            <w:tcW w:w="2150" w:type="dxa"/>
            <w:shd w:val="clear" w:fill="EFEFEF"/>
          </w:tcPr>
          <w:p>
            <w:r>
              <w:rPr>
                <w:b/>
                <w:sz w:val="16"/>
              </w:rPr>
              <w:t xml:space="preserve">Назначение</w:t>
            </w:r>
          </w:p>
        </w:tc>
        <w:tc>
          <w:tcPr>
            <w:tcW w:w="2500" w:type="dxa"/>
            <w:shd w:val="clear" w:fill="EFEFEF"/>
          </w:tcPr>
          <w:p>
            <w:r>
              <w:rPr>
                <w:b/>
                <w:sz w:val="16"/>
              </w:rPr>
              <w:t xml:space="preserve">Основные параметры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6"/>
              </w:rPr>
              <w:t xml:space="preserve">Кол-во</w:t>
            </w:r>
          </w:p>
        </w:tc>
        <w:tc>
          <w:tcPr>
            <w:tcW w:w="1400" w:type="dxa"/>
            <w:shd w:val="clear" w:fill="EFEFEF"/>
          </w:tcPr>
          <w:p>
            <w:r>
              <w:rPr>
                <w:b/>
                <w:sz w:val="16"/>
              </w:rPr>
              <w:t xml:space="preserve">Материал</w:t>
            </w:r>
          </w:p>
        </w:tc>
        <w:tc>
          <w:tcPr>
            <w:tcW w:w="1750" w:type="dxa"/>
            <w:shd w:val="clear" w:fill="EFEFEF"/>
          </w:tcPr>
          <w:p>
            <w:r>
              <w:rPr>
                <w:b/>
                <w:sz w:val="16"/>
              </w:rPr>
              <w:t xml:space="preserve">Габариты, масса</w:t>
            </w:r>
          </w:p>
        </w:tc>
        <w:tc>
          <w:tcPr>
            <w:tcW w:w="1150" w:type="dxa"/>
            <w:shd w:val="clear" w:fill="EFEFEF"/>
          </w:tcPr>
          <w:p>
            <w:r>
              <w:rPr>
                <w:b/>
                <w:sz w:val="16"/>
              </w:rPr>
              <w:t xml:space="preserve">Мощность</w:t>
            </w:r>
          </w:p>
        </w:tc>
        <w:tc>
          <w:tcPr>
            <w:tcW w:w="1360" w:type="dxa"/>
            <w:shd w:val="clear" w:fill="EFEFEF"/>
          </w:tcPr>
          <w:p>
            <w:r>
              <w:rPr>
                <w:b/>
                <w:sz w:val="16"/>
              </w:rPr>
              <w:t xml:space="preserve">Статус поставки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6"/>
              </w:rPr>
              <w:t xml:space="preserve">14</w:t>
            </w:r>
          </w:p>
        </w:tc>
        <w:tc>
          <w:tcPr>
            <w:tcW w:w="2350" w:type="dxa"/>
          </w:tcPr>
          <w:p>
            <w:r>
              <w:rPr>
                <w:b/>
                <w:sz w:val="16"/>
              </w:rPr>
              <w:t xml:space="preserve">Выпрямители</w:t>
            </w:r>
          </w:p>
        </w:tc>
        <w:tc>
          <w:tcPr>
            <w:tcW w:w="2150" w:type="dxa"/>
          </w:tcPr>
          <w:p>
            <w:r>
              <w:rPr>
                <w:sz w:val="16"/>
              </w:rPr>
              <w:t xml:space="preserve">Питание серий ванн постоянным током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250 В (max) / 227 В (ном); I = 47,0 кА; коэфф. запаса 1,10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3 (по одному на серию + резервный, ошиновка позволяет резервному работать на любую серию)</w:t>
            </w:r>
          </w:p>
        </w:tc>
        <w:tc>
          <w:tcPr>
            <w:tcW w:w="1400" w:type="dxa"/>
          </w:tcPr>
          <w:p>
            <w:r>
              <w:rPr>
                <w:sz w:val="16"/>
              </w:rPr>
              <w:t xml:space="preserve">—</w:t>
            </w:r>
          </w:p>
        </w:tc>
        <w:tc>
          <w:tcPr>
            <w:tcW w:w="1750" w:type="dxa"/>
          </w:tcPr>
          <w:p>
            <w:r>
              <w:rPr>
                <w:sz w:val="16"/>
              </w:rPr>
              <w:t xml:space="preserve">по ТКП</w:t>
            </w:r>
          </w:p>
        </w:tc>
        <w:tc>
          <w:tcPr>
            <w:tcW w:w="1150" w:type="dxa"/>
          </w:tcPr>
          <w:p>
            <w:r>
              <w:rPr>
                <w:sz w:val="16"/>
              </w:rPr>
              <w:t xml:space="preserve">по ТКП</w:t>
            </w:r>
          </w:p>
        </w:tc>
        <w:tc>
          <w:tcPr>
            <w:tcW w:w="1360" w:type="dxa"/>
          </w:tcPr>
          <w:p>
            <w:r>
              <w:rPr>
                <w:sz w:val="16"/>
              </w:rPr>
              <w:t xml:space="preserve">Вне БИ по Лоту №3 (перечень «не включа­ется»)</w:t>
            </w:r>
          </w:p>
        </w:tc>
      </w:tr>
    </w:tbl>
    <w:p>
      <w:pPr>
        <w:pStyle w:val="Heading1"/>
      </w:pPr>
      <w:r>
        <w:rPr>
          <w:b/>
          <w:sz w:val="28"/>
        </w:rPr>
        <w:t xml:space="preserve">3. Сводные показатели по лоту</w:t>
      </w:r>
    </w:p>
    <w:tbl>
      <w:tblPr>
        <w:tblW w:w="1428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200"/>
        <w:gridCol w:w="10080"/>
      </w:tblGrid>
      <w:tr>
        <w:tc>
          <w:tcPr>
            <w:tcW w:w="4200" w:type="dxa"/>
            <w:shd w:val="clear" w:fill="F7F7F7"/>
          </w:tcPr>
          <w:p>
            <w:r>
              <w:rPr>
                <w:b/>
                <w:sz w:val="19"/>
              </w:rPr>
              <w:t xml:space="preserve">Позиций в спецификации</w:t>
            </w:r>
          </w:p>
        </w:tc>
        <w:tc>
          <w:tcPr>
            <w:tcW w:w="10080" w:type="dxa"/>
          </w:tcPr>
          <w:p>
            <w:r>
              <w:rPr>
                <w:sz w:val="19"/>
              </w:rPr>
              <w:t xml:space="preserve">14 (участков — 6)</w:t>
            </w:r>
          </w:p>
        </w:tc>
      </w:tr>
      <w:tr>
        <w:tc>
          <w:tcPr>
            <w:tcW w:w="4200" w:type="dxa"/>
            <w:shd w:val="clear" w:fill="F7F7F7"/>
          </w:tcPr>
          <w:p>
            <w:r>
              <w:rPr>
                <w:b/>
                <w:sz w:val="19"/>
              </w:rPr>
              <w:t xml:space="preserve">Ключевые позиции (основное оборудование)</w:t>
            </w:r>
          </w:p>
        </w:tc>
        <w:tc>
          <w:tcPr>
            <w:tcW w:w="10080" w:type="dxa"/>
          </w:tcPr>
          <w:p>
            <w:r>
              <w:rPr>
                <w:sz w:val="19"/>
              </w:rPr>
              <w:t xml:space="preserve">8</w:t>
            </w:r>
          </w:p>
        </w:tc>
      </w:tr>
      <w:tr>
        <w:tc>
          <w:tcPr>
            <w:tcW w:w="4200" w:type="dxa"/>
            <w:shd w:val="clear" w:fill="F7F7F7"/>
          </w:tcPr>
          <w:p>
            <w:r>
              <w:rPr>
                <w:b/>
                <w:sz w:val="19"/>
              </w:rPr>
              <w:t xml:space="preserve">Распределение по статусам поставки</w:t>
            </w:r>
          </w:p>
        </w:tc>
        <w:tc>
          <w:tcPr>
            <w:tcW w:w="10080" w:type="dxa"/>
          </w:tcPr>
          <w:p>
            <w:r>
              <w:rPr>
                <w:sz w:val="19"/>
              </w:rPr>
              <w:t xml:space="preserve">Закуп — 11; Изготовление — 1; Закуп / модернизация — 1; Вне БИ по Лоту №3 (перечень «не включается») — 1</w:t>
            </w:r>
          </w:p>
        </w:tc>
      </w:tr>
      <w:tr>
        <w:tc>
          <w:tcPr>
            <w:tcW w:w="4200" w:type="dxa"/>
            <w:shd w:val="clear" w:fill="F7F7F7"/>
          </w:tcPr>
          <w:p>
            <w:r>
              <w:rPr>
                <w:b/>
                <w:sz w:val="19"/>
              </w:rPr>
              <w:t xml:space="preserve">Количество задано</w:t>
            </w:r>
          </w:p>
        </w:tc>
        <w:tc>
          <w:tcPr>
            <w:tcW w:w="10080" w:type="dxa"/>
          </w:tcPr>
          <w:p>
            <w:r>
              <w:rPr>
                <w:sz w:val="19"/>
              </w:rPr>
              <w:t xml:space="preserve">14 из 14 позиций; по остальным — уточняется на стадии ОТР и по ТКП</w:t>
            </w:r>
          </w:p>
        </w:tc>
      </w:tr>
      <w:tr>
        <w:tc>
          <w:tcPr>
            <w:tcW w:w="4200" w:type="dxa"/>
            <w:shd w:val="clear" w:fill="F7F7F7"/>
          </w:tcPr>
          <w:p>
            <w:r>
              <w:rPr>
                <w:b/>
                <w:sz w:val="19"/>
              </w:rPr>
              <w:t xml:space="preserve">Габариты или масса заданы</w:t>
            </w:r>
          </w:p>
        </w:tc>
        <w:tc>
          <w:tcPr>
            <w:tcW w:w="10080" w:type="dxa"/>
          </w:tcPr>
          <w:p>
            <w:r>
              <w:rPr>
                <w:sz w:val="19"/>
              </w:rPr>
              <w:t xml:space="preserve">7 из 14 позиций; по остальным — по ТКП изготовителей</w:t>
            </w:r>
          </w:p>
        </w:tc>
      </w:tr>
      <w:tr>
        <w:tc>
          <w:tcPr>
            <w:tcW w:w="4200" w:type="dxa"/>
            <w:shd w:val="clear" w:fill="F7F7F7"/>
          </w:tcPr>
          <w:p>
            <w:r>
              <w:rPr>
                <w:b/>
                <w:sz w:val="19"/>
              </w:rPr>
              <w:t xml:space="preserve">Мощность электроприёмников задана</w:t>
            </w:r>
          </w:p>
        </w:tc>
        <w:tc>
          <w:tcPr>
            <w:tcW w:w="10080" w:type="dxa"/>
          </w:tcPr>
          <w:p>
            <w:r>
              <w:rPr>
                <w:sz w:val="19"/>
              </w:rPr>
              <w:t xml:space="preserve">1 из 14 позиций</w:t>
            </w:r>
          </w:p>
        </w:tc>
      </w:tr>
      <w:tr>
        <w:tc>
          <w:tcPr>
            <w:tcW w:w="4200" w:type="dxa"/>
            <w:shd w:val="clear" w:fill="F7F7F7"/>
          </w:tcPr>
          <w:p>
            <w:r>
              <w:rPr>
                <w:b/>
                <w:sz w:val="19"/>
              </w:rPr>
              <w:t xml:space="preserve">Установленная мощность по позициям с единичным значением</w:t>
            </w:r>
          </w:p>
        </w:tc>
        <w:tc>
          <w:tcPr>
            <w:tcW w:w="10080" w:type="dxa"/>
          </w:tcPr>
          <w:p>
            <w:r>
              <w:rPr>
                <w:sz w:val="19"/>
              </w:rPr>
              <w:t xml:space="preserve">≈125 кВт: Роботизированная катодосдирочная машина (КСМ) — 1 × 125 кВт</w:t>
            </w:r>
          </w:p>
        </w:tc>
      </w:tr>
    </w:tbl>
    <w:p>
      <w:r>
        <w:rPr>
          <w:i/>
          <w:color w:val="555555"/>
          <w:sz w:val="18"/>
        </w:rPr>
        <w:t xml:space="preserve">Суммирование выполнено только по позициям, для которых задано одно значение мощности и целое количество единиц; позиции с диапазоном мощности и без данных в сумму не входят. Полная таблица электроприёмников лота сводится в документе по электроснабжению после получения ТКП.</w:t>
      </w:r>
    </w:p>
    <w:p>
      <w:pPr>
        <w:pStyle w:val="Heading1"/>
      </w:pPr>
      <w:r>
        <w:rPr>
          <w:b/>
          <w:sz w:val="28"/>
        </w:rPr>
        <w:t xml:space="preserve">4. Пояснения к составу оборудования и источники данных</w:t>
      </w:r>
    </w:p>
    <w:p>
      <w:r>
        <w:rPr>
          <w:sz w:val="20"/>
        </w:rPr>
        <w:t xml:space="preserve">Основание — разделы пояснительной записки «Перечень основного и вспомогательного технологического оборудования» и «Спецификация оборудования, опросные листы, исходные требования на оборудование длительного цикла изготовления».</w:t>
      </w:r>
    </w:p>
    <w:p>
      <w:r>
        <w:rPr>
          <w:sz w:val="20"/>
        </w:rPr>
        <w:t xml:space="preserve">Перечень в границах БИ — по ТЗ v4.1 п. 6.3 («Оборудование, включаемое в состав БИ») с характеристиками по ИД ч.2 табл. 4.2; группировка по технологическим узлам.</w:t>
      </w:r>
    </w:p>
    <w:p>
      <w:r>
        <w:rPr>
          <w:sz w:val="20"/>
        </w:rPr>
        <w:t xml:space="preserve">1) ЭЛЕКТРОЛИЗНЫЙ ЗАЛ: электролизные ванны — 180 шт. (2 серии × 90; расчётно 163, запас 1,104), полимербетон монолитный (Unicell или аналог, конструкция по проекту ДЕЛЬТА), внутренние габариты 8485 × 1155 × 1650 мм, комплектация каждой: 84 катодных места + 85 анодных, коллектор подачи с креплениями, закладные рельсов нутча, донная пробка, установочные конусы позиционирования крана (прил. В); аспирационные укрытия — 180 комплектов (легкосъёмный колпак, интегрированный с бортовым отсосом), коррозионностойкое исполнение; ошиновка ванн — комплект на 180 ванн + концевые шинные мосты серий, медь, конструкция с двойным контактом (референс Outotec), падение ≤ 0,06 В/ванну; аноды Pb–Ca(0,06–0,08 %)–Sn(1,35–1,5 %) холоднокатаные 940×952×6 мм — первичная загрузка 15 300 шт.; катодные матрицы 316L 1000×1000×3,25 мм с ПП-обрамлением (система SPLIT) — первичная загрузка 15 120 шт.; закорачивающие рамы 8,7 т — не менее одной на серию (число — по графику чисток, уточняется в БИ); подъёмная рама (сборка с закорачивающей 10,0 т).</w:t>
      </w:r>
    </w:p>
    <w:p>
      <w:r>
        <w:rPr>
          <w:sz w:val="20"/>
        </w:rPr>
        <w:t xml:space="preserve">2) УЗЕЛ КСМ: роботизированная катодосдирочная машина — 1 комплект, принято 120 матриц/ч (расчёт 105; референс Outotec 250), роботы подачи/выгрузки (в референсе KUKA KR 300 / KR 180), установленная мощность 125 кВт, потребляемая 105 кВт, гидростанция 120 бар, пневматика 6 бар, охлаждающая вода 25 л/мин (≤ 30 °С, 1,5 бар), двухстадийная промывка (25 м³/ч оборотная + 4 м³/ч свежая), точность позиционирования до 1 мм, персонал 1 чел.; оборудование формирования пакетов (весовой контроль, маркировка, увязка, автоматический пробоотбор, «перфорация» профилированием листов) — пакет 2500 ± 50 кг (закрепить в опросном листе, референс 1400–2000 кг); оборудование автоматической изоляции кромок матриц — комплект (ПП-профиль 1170 × 22,5 × 10 мм, расход 2770 кг/год); автоматизированная транспортировка пакетов — конвейерная линия от КСМ до передаточных ворот СГП.</w:t>
      </w:r>
    </w:p>
    <w:p>
      <w:r>
        <w:rPr>
          <w:sz w:val="20"/>
        </w:rPr>
        <w:t xml:space="preserve">3) КРАНОВОЕ ХОЗЯЙСТВО (спецоснащение — в лоте): специальные автоматические краны с системой позиционирования — 2 шт. (по одному на серию/пролёт), грузоподъёмность ориентировочно 16–20 т (полный комплект 84 матриц с осадком 11,6 т + траверса-борона с поддоном 3–5 т), режим не легче А6/М7 (≈28 обслуживаний ванн/сут), рабочие части и оснастка 316L, ИК-контроль контактов и КЗ (рекомендация ИД п. 4.2.2).</w:t>
      </w:r>
    </w:p>
    <w:p>
      <w:r>
        <w:rPr>
          <w:sz w:val="20"/>
        </w:rPr>
        <w:t xml:space="preserve">4) ЭЛЕКТРОЛИТНОЕ ХОЗЯЙСТВО: циркуляционные баки — 2 × 300 м³ с перегородкой (расчётный запас 0,25 ч × 1634,5 м³/ч = 408,6 м³; сталь либо железобетон с кислотоупорной футеровкой, допускается изготовление по месту — ИД п. 4.2.2); узел гуартека — 2 поочерёдно работающие ёмкости (каждая ≥ 12 ч работы) с тихоходными рамными мешалками и насосами-дозаторами; узел FC-1100 (исполнение под аналоги Eagles 1100 / ChemShi NF-100); узлы дозирования H2SO4 (≈0,33 т/ч) и HCl 33 % (до 0,55 кг/ч).</w:t>
      </w:r>
    </w:p>
    <w:p>
      <w:r>
        <w:rPr>
          <w:sz w:val="20"/>
        </w:rPr>
        <w:t xml:space="preserve">СПРАВОЧНО — вне поставки лота, задание на стыке выдаёт БИ: выпрямители 3 × 47,0 кА / 227 (250) В; теплообменники 2 × 2500 кВт; циркуляционные насосы ≈820 м³/ч на серию; система аспирации со скруббером; нутч-фильтр; базовые мостовые краны (модернизация существующего парка — сценарий А).</w:t>
      </w:r>
    </w:p>
    <w:p>
      <w:r>
        <w:rPr>
          <w:sz w:val="20"/>
        </w:rPr>
        <w:t xml:space="preserve">КРИТЕРИЙ «ОСНОВНОГО» ОБОРУДОВАНИЯ (для опросных листов и ТКП; перечень фиксируется протоколом с Заказчиком): ванны, КСМ с формированием пакетов и изоляцией кромок, спецкраны, ошиновка, матрицы, аноды, укрытия, циркуляционные баки, АСУ с ППО.</w:t>
      </w:r>
    </w:p>
    <w:p>
      <w:pPr>
        <w:pStyle w:val="Heading2"/>
      </w:pPr>
      <w:r>
        <w:rPr>
          <w:b/>
          <w:sz w:val="24"/>
        </w:rPr>
        <w:t xml:space="preserve">4.1 Данные для спецификации из раздела о спецификации и опросных листах</w:t>
      </w:r>
    </w:p>
    <w:p>
      <w:r>
        <w:rPr>
          <w:sz w:val="20"/>
        </w:rPr>
        <w:t xml:space="preserve">СПЕЦИФИКАЦИЯ ОБОРУДОВАНИЯ (состав v4.1: технические характеристики, габариты, масса, энергопотребление) — ведомость по каждой позиции перечня с привязкой к PFD и компоновке. Массы серийных позиций для логистики и монтажа: ванны 180 × 8,7 т = 1566 т; аноды 15 300 × 65 кг ≈ 995 т; матрицы 15 120 × 50–55 кг ≈ 756–832 т — только три позиции дают ≈ 3,3–3,4 тыс. т поставки в Мончегорск (упаковка и транспортирование в районы Крайнего Севера — ГОСТ 15846); энергопотребление сводится в таблицу электроприёмников (раздел электроснабжения).</w:t>
      </w:r>
    </w:p>
    <w:p>
      <w:r>
        <w:rPr>
          <w:i/>
          <w:color w:val="555555"/>
          <w:sz w:val="18"/>
        </w:rPr>
        <w:t xml:space="preserve">Опросные листы, требования к монтажу и исходные требования на оборудование длительного цикла изготовления в настоящем документе не повторяются — см. ОВЭ75-БИ-Л3-ОЛ, ОВЭ75-БИ-Л3-ДЦ, ОВЭ75-БИ-Л3-МТ.</w:t>
      </w:r>
    </w:p>
    <w:p>
      <w:pPr>
        <w:pStyle w:val="Heading2"/>
      </w:pPr>
      <w:r>
        <w:rPr>
          <w:b/>
          <w:sz w:val="24"/>
        </w:rPr>
        <w:t xml:space="preserve">4.2 Определяющие позиции и источники значений</w:t>
      </w:r>
    </w:p>
    <w:tbl>
      <w:tblPr>
        <w:tblW w:w="1428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200"/>
        <w:gridCol w:w="7480"/>
        <w:gridCol w:w="3600"/>
      </w:tblGrid>
      <w:tr>
        <w:tc>
          <w:tcPr>
            <w:tcW w:w="3200" w:type="dxa"/>
            <w:shd w:val="clear" w:fill="EFEFEF"/>
          </w:tcPr>
          <w:p>
            <w:r>
              <w:rPr>
                <w:b/>
                <w:sz w:val="18"/>
              </w:rPr>
              <w:t xml:space="preserve">Позиция</w:t>
            </w:r>
          </w:p>
        </w:tc>
        <w:tc>
          <w:tcPr>
            <w:tcW w:w="7480" w:type="dxa"/>
            <w:shd w:val="clear" w:fill="EFEFEF"/>
          </w:tcPr>
          <w:p>
            <w:r>
              <w:rPr>
                <w:b/>
                <w:sz w:val="18"/>
              </w:rPr>
              <w:t xml:space="preserve">Значение</w:t>
            </w:r>
          </w:p>
        </w:tc>
        <w:tc>
          <w:tcPr>
            <w:tcW w:w="3600" w:type="dxa"/>
            <w:shd w:val="clear" w:fill="EFEFEF"/>
          </w:tcPr>
          <w:p>
            <w:r>
              <w:rPr>
                <w:b/>
                <w:sz w:val="18"/>
              </w:rPr>
              <w:t xml:space="preserve">Источник</w:t>
            </w:r>
          </w:p>
        </w:tc>
      </w:tr>
      <w:tr>
        <w:tc>
          <w:tcPr>
            <w:tcW w:w="3200" w:type="dxa"/>
          </w:tcPr>
          <w:p>
            <w:r>
              <w:rPr>
                <w:sz w:val="18"/>
              </w:rPr>
              <w:t xml:space="preserve">Ванны</w:t>
            </w:r>
          </w:p>
        </w:tc>
        <w:tc>
          <w:tcPr>
            <w:tcW w:w="7480" w:type="dxa"/>
          </w:tcPr>
          <w:p>
            <w:r>
              <w:rPr>
                <w:sz w:val="18"/>
              </w:rPr>
              <w:t xml:space="preserve">180 шт.; 8485×1155×1650 мм; коллектор подачи и закладные — в комплекте</w:t>
            </w:r>
          </w:p>
        </w:tc>
        <w:tc>
          <w:tcPr>
            <w:tcW w:w="3600" w:type="dxa"/>
          </w:tcPr>
          <w:p>
            <w:r>
              <w:rPr>
                <w:sz w:val="18"/>
              </w:rPr>
              <w:t xml:space="preserve">ИД ч.2 табл. 4.2, прил. В</w:t>
            </w:r>
          </w:p>
        </w:tc>
      </w:tr>
      <w:tr>
        <w:tc>
          <w:tcPr>
            <w:tcW w:w="3200" w:type="dxa"/>
          </w:tcPr>
          <w:p>
            <w:r>
              <w:rPr>
                <w:sz w:val="18"/>
              </w:rPr>
              <w:t xml:space="preserve">Электроды (первичная загрузка)</w:t>
            </w:r>
          </w:p>
        </w:tc>
        <w:tc>
          <w:tcPr>
            <w:tcW w:w="7480" w:type="dxa"/>
          </w:tcPr>
          <w:p>
            <w:r>
              <w:rPr>
                <w:sz w:val="18"/>
              </w:rPr>
              <w:t xml:space="preserve">аноды 15 300 шт. (Pb–Ca–Sn); матрицы 15 120 шт. (316L, SPLIT)</w:t>
            </w:r>
          </w:p>
        </w:tc>
        <w:tc>
          <w:tcPr>
            <w:tcW w:w="3600" w:type="dxa"/>
          </w:tcPr>
          <w:p>
            <w:r>
              <w:rPr>
                <w:sz w:val="18"/>
              </w:rPr>
              <w:t xml:space="preserve">ИД ч.2 табл. 8.5; расчёт 180 × 85 / 180 × 84</w:t>
            </w:r>
          </w:p>
        </w:tc>
      </w:tr>
      <w:tr>
        <w:tc>
          <w:tcPr>
            <w:tcW w:w="3200" w:type="dxa"/>
          </w:tcPr>
          <w:p>
            <w:r>
              <w:rPr>
                <w:sz w:val="18"/>
              </w:rPr>
              <w:t xml:space="preserve">КСМ</w:t>
            </w:r>
          </w:p>
        </w:tc>
        <w:tc>
          <w:tcPr>
            <w:tcW w:w="7480" w:type="dxa"/>
          </w:tcPr>
          <w:p>
            <w:r>
              <w:rPr>
                <w:sz w:val="18"/>
              </w:rPr>
              <w:t xml:space="preserve">1 к-т; 120 матриц/ч; 125/105 кВт; гидравлика 120 бар, пневматика 6 бар</w:t>
            </w:r>
          </w:p>
        </w:tc>
        <w:tc>
          <w:tcPr>
            <w:tcW w:w="3600" w:type="dxa"/>
          </w:tcPr>
          <w:p>
            <w:r>
              <w:rPr>
                <w:sz w:val="18"/>
              </w:rPr>
              <w:t xml:space="preserve">ИД ч.2 табл. 4.2 (референс КСМ)</w:t>
            </w:r>
          </w:p>
        </w:tc>
      </w:tr>
      <w:tr>
        <w:tc>
          <w:tcPr>
            <w:tcW w:w="3200" w:type="dxa"/>
          </w:tcPr>
          <w:p>
            <w:r>
              <w:rPr>
                <w:sz w:val="18"/>
              </w:rPr>
              <w:t xml:space="preserve">Спецкраны</w:t>
            </w:r>
          </w:p>
        </w:tc>
        <w:tc>
          <w:tcPr>
            <w:tcW w:w="7480" w:type="dxa"/>
          </w:tcPr>
          <w:p>
            <w:r>
              <w:rPr>
                <w:sz w:val="18"/>
              </w:rPr>
              <w:t xml:space="preserve">2 шт.; Q ≈ 16–20 т; режим ≥ А6/М7; оснастка 316L; ИК-контроль КЗ</w:t>
            </w:r>
          </w:p>
        </w:tc>
        <w:tc>
          <w:tcPr>
            <w:tcW w:w="3600" w:type="dxa"/>
          </w:tcPr>
          <w:p>
            <w:r>
              <w:rPr>
                <w:sz w:val="18"/>
              </w:rPr>
              <w:t xml:space="preserve">ИД ч.2 п. 4.2.2; расчёт нагрузок</w:t>
            </w:r>
          </w:p>
        </w:tc>
      </w:tr>
      <w:tr>
        <w:tc>
          <w:tcPr>
            <w:tcW w:w="3200" w:type="dxa"/>
          </w:tcPr>
          <w:p>
            <w:r>
              <w:rPr>
                <w:sz w:val="18"/>
              </w:rPr>
              <w:t xml:space="preserve">Циркуляционные баки</w:t>
            </w:r>
          </w:p>
        </w:tc>
        <w:tc>
          <w:tcPr>
            <w:tcW w:w="7480" w:type="dxa"/>
          </w:tcPr>
          <w:p>
            <w:r>
              <w:rPr>
                <w:sz w:val="18"/>
              </w:rPr>
              <w:t xml:space="preserve">2 × 300 м³ (расчёт 408,6 м³); допускается изготовление по месту</w:t>
            </w:r>
          </w:p>
        </w:tc>
        <w:tc>
          <w:tcPr>
            <w:tcW w:w="3600" w:type="dxa"/>
          </w:tcPr>
          <w:p>
            <w:r>
              <w:rPr>
                <w:sz w:val="18"/>
              </w:rPr>
              <w:t xml:space="preserve">ИД ч.2 табл. 4.2, п. 4.2.2</w:t>
            </w:r>
          </w:p>
        </w:tc>
      </w:tr>
      <w:tr>
        <w:tc>
          <w:tcPr>
            <w:tcW w:w="3200" w:type="dxa"/>
          </w:tcPr>
          <w:p>
            <w:r>
              <w:rPr>
                <w:sz w:val="18"/>
              </w:rPr>
              <w:t xml:space="preserve">Узлы реагентов</w:t>
            </w:r>
          </w:p>
        </w:tc>
        <w:tc>
          <w:tcPr>
            <w:tcW w:w="7480" w:type="dxa"/>
          </w:tcPr>
          <w:p>
            <w:r>
              <w:rPr>
                <w:sz w:val="18"/>
              </w:rPr>
              <w:t xml:space="preserve">гуартек 2 ёмкости ≥ 12 ч; FC-1100 под аналоги; дозирование H2SO4/HCl</w:t>
            </w:r>
          </w:p>
        </w:tc>
        <w:tc>
          <w:tcPr>
            <w:tcW w:w="3600" w:type="dxa"/>
          </w:tcPr>
          <w:p>
            <w:r>
              <w:rPr>
                <w:sz w:val="18"/>
              </w:rPr>
              <w:t xml:space="preserve">ИД ч.2 п. 1.3.13–1.3.14, прил. Б</w:t>
            </w:r>
          </w:p>
        </w:tc>
      </w:tr>
      <w:tr>
        <w:tc>
          <w:tcPr>
            <w:tcW w:w="3200" w:type="dxa"/>
          </w:tcPr>
          <w:p>
            <w:r>
              <w:rPr>
                <w:sz w:val="18"/>
              </w:rPr>
              <w:t xml:space="preserve">Вне поставки (задание БИ)</w:t>
            </w:r>
          </w:p>
        </w:tc>
        <w:tc>
          <w:tcPr>
            <w:tcW w:w="7480" w:type="dxa"/>
          </w:tcPr>
          <w:p>
            <w:r>
              <w:rPr>
                <w:sz w:val="18"/>
              </w:rPr>
              <w:t xml:space="preserve">выпрямители, теплообменники, насосы, аспирация, нутч, базовые краны</w:t>
            </w:r>
          </w:p>
        </w:tc>
        <w:tc>
          <w:tcPr>
            <w:tcW w:w="3600" w:type="dxa"/>
          </w:tcPr>
          <w:p>
            <w:r>
              <w:rPr>
                <w:sz w:val="18"/>
              </w:rPr>
              <w:t xml:space="preserve">ТЗ v4.1 п. 6.3 (перечень «не включается»)</w:t>
            </w:r>
          </w:p>
        </w:tc>
      </w:tr>
      <w:tr>
        <w:tc>
          <w:tcPr>
            <w:tcW w:w="3200" w:type="dxa"/>
          </w:tcPr>
          <w:p>
            <w:r>
              <w:rPr>
                <w:sz w:val="18"/>
              </w:rPr>
              <w:t xml:space="preserve">Массы поставки</w:t>
            </w:r>
          </w:p>
        </w:tc>
        <w:tc>
          <w:tcPr>
            <w:tcW w:w="7480" w:type="dxa"/>
          </w:tcPr>
          <w:p>
            <w:r>
              <w:rPr>
                <w:sz w:val="18"/>
              </w:rPr>
              <w:t xml:space="preserve">ванны 1566 т + аноды ≈995 т + матрицы 756–832 т ≈ 3,3–3,4 тыс. т</w:t>
            </w:r>
          </w:p>
        </w:tc>
        <w:tc>
          <w:tcPr>
            <w:tcW w:w="3600" w:type="dxa"/>
          </w:tcPr>
          <w:p>
            <w:r>
              <w:rPr>
                <w:sz w:val="18"/>
              </w:rPr>
              <w:t xml:space="preserve">расчёт от ИД ч.2 прил. В, табл. 8.5</w:t>
            </w:r>
          </w:p>
        </w:tc>
      </w:tr>
      <w:tr>
        <w:tc>
          <w:tcPr>
            <w:tcW w:w="3200" w:type="dxa"/>
          </w:tcPr>
          <w:p>
            <w:r>
              <w:rPr>
                <w:sz w:val="18"/>
              </w:rPr>
              <w:t xml:space="preserve">Опросные листы</w:t>
            </w:r>
          </w:p>
        </w:tc>
        <w:tc>
          <w:tcPr>
            <w:tcW w:w="7480" w:type="dxa"/>
          </w:tcPr>
          <w:p>
            <w:r>
              <w:rPr>
                <w:sz w:val="18"/>
              </w:rPr>
              <w:t xml:space="preserve">10 групп основного оборудования; обязательные поля: тяжелейшая неразъёмная часть, нагрузки X/Y/Z, шеф-монтаж, ЗИП</w:t>
            </w:r>
          </w:p>
        </w:tc>
        <w:tc>
          <w:tcPr>
            <w:tcW w:w="3600" w:type="dxa"/>
          </w:tcPr>
          <w:p>
            <w:r>
              <w:rPr>
                <w:sz w:val="18"/>
              </w:rPr>
              <w:t xml:space="preserve">ИД ч.2 прил. В п. 15, 17; ТЗ v4.1</w:t>
            </w:r>
          </w:p>
        </w:tc>
      </w:tr>
      <w:tr>
        <w:tc>
          <w:tcPr>
            <w:tcW w:w="3200" w:type="dxa"/>
          </w:tcPr>
          <w:p>
            <w:r>
              <w:rPr>
                <w:sz w:val="18"/>
              </w:rPr>
              <w:t xml:space="preserve">Привести в листах</w:t>
            </w:r>
          </w:p>
        </w:tc>
        <w:tc>
          <w:tcPr>
            <w:tcW w:w="7480" w:type="dxa"/>
          </w:tcPr>
          <w:p>
            <w:r>
              <w:rPr>
                <w:sz w:val="18"/>
              </w:rPr>
              <w:t xml:space="preserve">шаг 95 мм (не 100), пакет 2500 ± 50 кг (не 1400–2000)</w:t>
            </w:r>
          </w:p>
        </w:tc>
        <w:tc>
          <w:tcPr>
            <w:tcW w:w="3600" w:type="dxa"/>
          </w:tcPr>
          <w:p>
            <w:r>
              <w:rPr>
                <w:sz w:val="18"/>
              </w:rPr>
              <w:t xml:space="preserve">ИД ч.2 прил. В; требование сбыта</w:t>
            </w:r>
          </w:p>
        </w:tc>
      </w:tr>
      <w:tr>
        <w:tc>
          <w:tcPr>
            <w:tcW w:w="3200" w:type="dxa"/>
          </w:tcPr>
          <w:p>
            <w:r>
              <w:rPr>
                <w:sz w:val="18"/>
              </w:rPr>
              <w:t xml:space="preserve">Длинноцикловое</w:t>
            </w:r>
          </w:p>
        </w:tc>
        <w:tc>
          <w:tcPr>
            <w:tcW w:w="7480" w:type="dxa"/>
          </w:tcPr>
          <w:p>
            <w:r>
              <w:rPr>
                <w:sz w:val="18"/>
              </w:rPr>
              <w:t xml:space="preserve">ванны (180 шт., оснастка форм), КСМ, спецкраны, парк электродов, АСУ</w:t>
            </w:r>
          </w:p>
        </w:tc>
        <w:tc>
          <w:tcPr>
            <w:tcW w:w="3600" w:type="dxa"/>
          </w:tcPr>
          <w:p>
            <w:r>
              <w:rPr>
                <w:sz w:val="18"/>
              </w:rPr>
              <w:t xml:space="preserve">решение БИ; ТЗ v4.1 (состав)</w:t>
            </w:r>
          </w:p>
        </w:tc>
      </w:tr>
      <w:tr>
        <w:tc>
          <w:tcPr>
            <w:tcW w:w="3200" w:type="dxa"/>
          </w:tcPr>
          <w:p>
            <w:r>
              <w:rPr>
                <w:sz w:val="18"/>
              </w:rPr>
              <w:t xml:space="preserve">Выдача</w:t>
            </w:r>
          </w:p>
        </w:tc>
        <w:tc>
          <w:tcPr>
            <w:tcW w:w="7480" w:type="dxa"/>
          </w:tcPr>
          <w:p>
            <w:r>
              <w:rPr>
                <w:sz w:val="18"/>
              </w:rPr>
              <w:t xml:space="preserve">исходные требования на длинноцикловое — в первой очереди этапной выдачи БИ</w:t>
            </w:r>
          </w:p>
        </w:tc>
        <w:tc>
          <w:tcPr>
            <w:tcW w:w="3600" w:type="dxa"/>
          </w:tcPr>
          <w:p>
            <w:r>
              <w:rPr>
                <w:sz w:val="18"/>
              </w:rPr>
              <w:t xml:space="preserve">ТЗ «Прочие условия» (поэтапная выдача)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4.3 Нормативные документы, определяющие требования к оборудованию</w:t>
      </w:r>
    </w:p>
    <w:tbl>
      <w:tblPr>
        <w:tblW w:w="1428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200"/>
        <w:gridCol w:w="10080"/>
      </w:tblGrid>
      <w:tr>
        <w:tc>
          <w:tcPr>
            <w:tcW w:w="4200" w:type="dxa"/>
            <w:shd w:val="clear" w:fill="EFEFEF"/>
          </w:tcPr>
          <w:p>
            <w:r>
              <w:rPr>
                <w:b/>
                <w:sz w:val="18"/>
              </w:rPr>
              <w:t xml:space="preserve">Документ</w:t>
            </w:r>
          </w:p>
        </w:tc>
        <w:tc>
          <w:tcPr>
            <w:tcW w:w="10080" w:type="dxa"/>
            <w:shd w:val="clear" w:fill="EFEFEF"/>
          </w:tcPr>
          <w:p>
            <w:r>
              <w:rPr>
                <w:b/>
                <w:sz w:val="18"/>
              </w:rPr>
              <w:t xml:space="preserve">Область применения</w:t>
            </w:r>
          </w:p>
        </w:tc>
      </w:tr>
      <w:tr>
        <w:tc>
          <w:tcPr>
            <w:tcW w:w="4200" w:type="dxa"/>
          </w:tcPr>
          <w:p>
            <w:r>
              <w:rPr>
                <w:sz w:val="18"/>
              </w:rPr>
              <w:t xml:space="preserve">ТР ТС 010/2011</w:t>
            </w:r>
          </w:p>
        </w:tc>
        <w:tc>
          <w:tcPr>
            <w:tcW w:w="10080" w:type="dxa"/>
          </w:tcPr>
          <w:p>
            <w:r>
              <w:rPr>
                <w:sz w:val="18"/>
              </w:rPr>
              <w:t xml:space="preserve">Безопасность машин и оборудования — сертификация/декларирование поставляемых позиций</w:t>
            </w:r>
          </w:p>
        </w:tc>
      </w:tr>
      <w:tr>
        <w:tc>
          <w:tcPr>
            <w:tcW w:w="4200" w:type="dxa"/>
          </w:tcPr>
          <w:p>
            <w:r>
              <w:rPr>
                <w:sz w:val="18"/>
              </w:rPr>
              <w:t xml:space="preserve">ГОСТ 12.2.003-91</w:t>
            </w:r>
          </w:p>
        </w:tc>
        <w:tc>
          <w:tcPr>
            <w:tcW w:w="10080" w:type="dxa"/>
          </w:tcPr>
          <w:p>
            <w:r>
              <w:rPr>
                <w:sz w:val="18"/>
              </w:rPr>
              <w:t xml:space="preserve">Оборудование производственное. Общие требования безопасности</w:t>
            </w:r>
          </w:p>
        </w:tc>
      </w:tr>
      <w:tr>
        <w:tc>
          <w:tcPr>
            <w:tcW w:w="4200" w:type="dxa"/>
          </w:tcPr>
          <w:p>
            <w:r>
              <w:rPr>
                <w:sz w:val="18"/>
              </w:rPr>
              <w:t xml:space="preserve">ГОСТ 15150-69</w:t>
            </w:r>
          </w:p>
        </w:tc>
        <w:tc>
          <w:tcPr>
            <w:tcW w:w="10080" w:type="dxa"/>
          </w:tcPr>
          <w:p>
            <w:r>
              <w:rPr>
                <w:sz w:val="18"/>
              </w:rPr>
              <w:t xml:space="preserve">Исполнение УХЛ3 для оборудования электролизного зала</w:t>
            </w:r>
          </w:p>
        </w:tc>
      </w:tr>
      <w:tr>
        <w:tc>
          <w:tcPr>
            <w:tcW w:w="4200" w:type="dxa"/>
          </w:tcPr>
          <w:p>
            <w:r>
              <w:rPr>
                <w:sz w:val="18"/>
              </w:rPr>
              <w:t xml:space="preserve">ГОСТ 15846-2002</w:t>
            </w:r>
          </w:p>
        </w:tc>
        <w:tc>
          <w:tcPr>
            <w:tcW w:w="10080" w:type="dxa"/>
          </w:tcPr>
          <w:p>
            <w:r>
              <w:rPr>
                <w:sz w:val="18"/>
              </w:rPr>
              <w:t xml:space="preserve">Упаковка и транспортирование в районы Крайнего Севера (≈3,4 тыс. т поставки)</w:t>
            </w:r>
          </w:p>
        </w:tc>
      </w:tr>
      <w:tr>
        <w:tc>
          <w:tcPr>
            <w:tcW w:w="4200" w:type="dxa"/>
          </w:tcPr>
          <w:p>
            <w:r>
              <w:rPr>
                <w:sz w:val="18"/>
              </w:rPr>
              <w:t xml:space="preserve">ГОСТ 5582-75</w:t>
            </w:r>
          </w:p>
        </w:tc>
        <w:tc>
          <w:tcPr>
            <w:tcW w:w="10080" w:type="dxa"/>
          </w:tcPr>
          <w:p>
            <w:r>
              <w:rPr>
                <w:sz w:val="18"/>
              </w:rPr>
              <w:t xml:space="preserve">Нержавеющий прокат (отечественный аналог 316L — 03Х17Н14М3) для матриц</w:t>
            </w:r>
          </w:p>
        </w:tc>
      </w:tr>
    </w:tbl>
    <w:p>
      <w:pPr>
        <w:pStyle w:val="Heading1"/>
      </w:pPr>
      <w:r>
        <w:rPr>
          <w:b/>
          <w:sz w:val="28"/>
        </w:rPr>
        <w:t xml:space="preserve">5. Оборудование вне БИ и на границах лота</w:t>
      </w:r>
    </w:p>
    <w:p>
      <w:pPr>
        <w:pStyle w:val="Heading2"/>
      </w:pPr>
      <w:r>
        <w:rPr>
          <w:b/>
          <w:sz w:val="24"/>
        </w:rPr>
        <w:t xml:space="preserve">5.1 Позиции лота на границе объёма поставки</w:t>
      </w:r>
    </w:p>
    <w:p>
      <w:r>
        <w:rPr>
          <w:sz w:val="20"/>
        </w:rPr>
        <w:t xml:space="preserve">Позиции основной таблицы, по которым объём поставки ограничен границей БИ, существующим оборудованием Заказчика или перечнем «не включается» ТЗ:</w:t>
      </w:r>
    </w:p>
    <w:tbl>
      <w:tblPr>
        <w:tblW w:w="1428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700"/>
        <w:gridCol w:w="4200"/>
        <w:gridCol w:w="2800"/>
        <w:gridCol w:w="6580"/>
      </w:tblGrid>
      <w:tr>
        <w:trPr>
          <w:tblHeader/>
          <w:cantSplit/>
        </w:trPr>
        <w:tc>
          <w:tcPr>
            <w:tcW w:w="700" w:type="dxa"/>
            <w:shd w:val="clear" w:fill="EFEFEF"/>
          </w:tcPr>
          <w:p>
            <w:r>
              <w:rPr>
                <w:b/>
                <w:sz w:val="17"/>
              </w:rPr>
              <w:t xml:space="preserve">Поз.</w:t>
            </w:r>
          </w:p>
        </w:tc>
        <w:tc>
          <w:tcPr>
            <w:tcW w:w="4200" w:type="dxa"/>
            <w:shd w:val="clear" w:fill="EFEFEF"/>
          </w:tcPr>
          <w:p>
            <w:r>
              <w:rPr>
                <w:b/>
                <w:sz w:val="17"/>
              </w:rPr>
              <w:t xml:space="preserve">Наименование</w:t>
            </w:r>
          </w:p>
        </w:tc>
        <w:tc>
          <w:tcPr>
            <w:tcW w:w="2800" w:type="dxa"/>
            <w:shd w:val="clear" w:fill="EFEFEF"/>
          </w:tcPr>
          <w:p>
            <w:r>
              <w:rPr>
                <w:b/>
                <w:sz w:val="17"/>
              </w:rPr>
              <w:t xml:space="preserve">Статус</w:t>
            </w:r>
          </w:p>
        </w:tc>
        <w:tc>
          <w:tcPr>
            <w:tcW w:w="6580" w:type="dxa"/>
            <w:shd w:val="clear" w:fill="EFEFEF"/>
          </w:tcPr>
          <w:p>
            <w:r>
              <w:rPr>
                <w:b/>
                <w:sz w:val="17"/>
              </w:rPr>
              <w:t xml:space="preserve">Ограничение объёма поставки</w:t>
            </w:r>
          </w:p>
        </w:tc>
      </w:tr>
      <w:tr>
        <w:trPr>
          <w:cantSplit/>
        </w:trPr>
        <w:tc>
          <w:tcPr>
            <w:tcW w:w="700" w:type="dxa"/>
          </w:tcPr>
          <w:p>
            <w:r>
              <w:rPr>
                <w:sz w:val="17"/>
              </w:rPr>
              <w:t xml:space="preserve">2</w:t>
            </w:r>
          </w:p>
        </w:tc>
        <w:tc>
          <w:tcPr>
            <w:tcW w:w="4200" w:type="dxa"/>
          </w:tcPr>
          <w:p>
            <w:r>
              <w:rPr>
                <w:sz w:val="17"/>
              </w:rPr>
              <w:t xml:space="preserve">Холодильник электролита пластинчатый</w:t>
            </w:r>
          </w:p>
        </w:tc>
        <w:tc>
          <w:tcPr>
            <w:tcW w:w="2800" w:type="dxa"/>
          </w:tcPr>
          <w:p>
            <w:r>
              <w:rPr>
                <w:sz w:val="17"/>
              </w:rPr>
              <w:t xml:space="preserve">Закуп</w:t>
            </w:r>
          </w:p>
        </w:tc>
        <w:tc>
          <w:tcPr>
            <w:tcW w:w="6580" w:type="dxa"/>
          </w:tcPr>
          <w:p>
            <w:r>
              <w:rPr>
                <w:sz w:val="17"/>
              </w:rPr>
              <w:t xml:space="preserve">В состав БИ по Лоту №3 теплообменники не включаются (перечень «не в БИ»), но параметры заданы ИД</w:t>
            </w:r>
          </w:p>
        </w:tc>
      </w:tr>
      <w:tr>
        <w:trPr>
          <w:cantSplit/>
        </w:trPr>
        <w:tc>
          <w:tcPr>
            <w:tcW w:w="700" w:type="dxa"/>
          </w:tcPr>
          <w:p>
            <w:r>
              <w:rPr>
                <w:sz w:val="17"/>
              </w:rPr>
              <w:t xml:space="preserve">11</w:t>
            </w:r>
          </w:p>
        </w:tc>
        <w:tc>
          <w:tcPr>
            <w:tcW w:w="4200" w:type="dxa"/>
          </w:tcPr>
          <w:p>
            <w:r>
              <w:rPr>
                <w:sz w:val="17"/>
              </w:rPr>
              <w:t xml:space="preserve">Специальные автоматические краны с системой позиционирования</w:t>
            </w:r>
          </w:p>
        </w:tc>
        <w:tc>
          <w:tcPr>
            <w:tcW w:w="2800" w:type="dxa"/>
          </w:tcPr>
          <w:p>
            <w:r>
              <w:rPr>
                <w:sz w:val="17"/>
              </w:rPr>
              <w:t xml:space="preserve">Закуп / модернизация</w:t>
            </w:r>
          </w:p>
        </w:tc>
        <w:tc>
          <w:tcPr>
            <w:tcW w:w="6580" w:type="dxa"/>
          </w:tcPr>
          <w:p>
            <w:r>
              <w:rPr>
                <w:sz w:val="17"/>
              </w:rPr>
              <w:t xml:space="preserve">Рекомендуется использовать существующее подъёмно-транспортное оборудование ЦЭМ после модернизации (при необходимости)</w:t>
            </w:r>
          </w:p>
        </w:tc>
      </w:tr>
      <w:tr>
        <w:trPr>
          <w:cantSplit/>
        </w:trPr>
        <w:tc>
          <w:tcPr>
            <w:tcW w:w="700" w:type="dxa"/>
          </w:tcPr>
          <w:p>
            <w:r>
              <w:rPr>
                <w:sz w:val="17"/>
              </w:rPr>
              <w:t xml:space="preserve">14</w:t>
            </w:r>
          </w:p>
        </w:tc>
        <w:tc>
          <w:tcPr>
            <w:tcW w:w="4200" w:type="dxa"/>
          </w:tcPr>
          <w:p>
            <w:r>
              <w:rPr>
                <w:sz w:val="17"/>
              </w:rPr>
              <w:t xml:space="preserve">Выпрямители</w:t>
            </w:r>
          </w:p>
        </w:tc>
        <w:tc>
          <w:tcPr>
            <w:tcW w:w="2800" w:type="dxa"/>
          </w:tcPr>
          <w:p>
            <w:r>
              <w:rPr>
                <w:sz w:val="17"/>
              </w:rPr>
              <w:t xml:space="preserve">Вне БИ по Лоту №3 (перечень «не включается»)</w:t>
            </w:r>
          </w:p>
        </w:tc>
        <w:tc>
          <w:tcPr>
            <w:tcW w:w="6580" w:type="dxa"/>
          </w:tcPr>
          <w:p>
            <w:r>
              <w:rPr>
                <w:sz w:val="17"/>
              </w:rPr>
              <w:t xml:space="preserve">Позиция в объём Базового инжиниринга по лоту не входит; приводится справочно для увязки границ; в составе БИ по ней выдаётся задание на стыке смежному проектировщику или поставщику.</w:t>
            </w:r>
          </w:p>
        </w:tc>
      </w:tr>
    </w:tbl>
    <w:p>
      <w:r>
        <w:rPr>
          <w:sz w:val="20"/>
        </w:rPr>
        <w:t xml:space="preserve">Перечень оборудования, не включаемого в БИ по Лоту №3 (ТЗ): шины магистральные; выпрямители для ванн электроэкстракции; напорный трубопровод для ванн; сливной трубопровод для ванн; система аспирации от ванн и очистки аспирационных газов; циркуляционные насосы; грузоподъёмное оборудование; нутч-фильтр; оборудование для обработки свинцового шлама и отработанных свинцовых анодов; теплообменники. По каждой позиции в составе БИ выдаётся задание на стыке с параметрами и физической границей.</w:t>
      </w:r>
    </w:p>
    <w:p>
      <w:pPr>
        <w:pStyle w:val="Heading2"/>
      </w:pPr>
      <w:r>
        <w:rPr>
          <w:b/>
          <w:sz w:val="24"/>
        </w:rPr>
        <w:t xml:space="preserve">5.2 Данные на границах лота (задания на стыке)</w:t>
      </w:r>
    </w:p>
    <w:p>
      <w:r>
        <w:rPr>
          <w:sz w:val="20"/>
        </w:rPr>
        <w:t xml:space="preserve">Сводка по разделу пояснительной записки «Разграничение поставки и стыковка границ с позициями „вне БИ“».</w:t>
      </w:r>
    </w:p>
    <w:tbl>
      <w:tblPr>
        <w:tblW w:w="1428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200"/>
        <w:gridCol w:w="7480"/>
        <w:gridCol w:w="3600"/>
      </w:tblGrid>
      <w:tr>
        <w:tc>
          <w:tcPr>
            <w:tcW w:w="3200" w:type="dxa"/>
            <w:shd w:val="clear" w:fill="EFEFEF"/>
          </w:tcPr>
          <w:p>
            <w:r>
              <w:rPr>
                <w:b/>
                <w:sz w:val="18"/>
              </w:rPr>
              <w:t xml:space="preserve">Стык</w:t>
            </w:r>
          </w:p>
        </w:tc>
        <w:tc>
          <w:tcPr>
            <w:tcW w:w="7480" w:type="dxa"/>
            <w:shd w:val="clear" w:fill="EFEFEF"/>
          </w:tcPr>
          <w:p>
            <w:r>
              <w:rPr>
                <w:b/>
                <w:sz w:val="18"/>
              </w:rPr>
              <w:t xml:space="preserve">Данные на границе</w:t>
            </w:r>
          </w:p>
        </w:tc>
        <w:tc>
          <w:tcPr>
            <w:tcW w:w="3600" w:type="dxa"/>
            <w:shd w:val="clear" w:fill="EFEFEF"/>
          </w:tcPr>
          <w:p>
            <w:r>
              <w:rPr>
                <w:b/>
                <w:sz w:val="18"/>
              </w:rPr>
              <w:t xml:space="preserve">Источник</w:t>
            </w:r>
          </w:p>
        </w:tc>
      </w:tr>
      <w:tr>
        <w:tc>
          <w:tcPr>
            <w:tcW w:w="3200" w:type="dxa"/>
          </w:tcPr>
          <w:p>
            <w:r>
              <w:rPr>
                <w:sz w:val="18"/>
              </w:rPr>
              <w:t xml:space="preserve">Выпрямители (вне БИ)</w:t>
            </w:r>
          </w:p>
        </w:tc>
        <w:tc>
          <w:tcPr>
            <w:tcW w:w="7480" w:type="dxa"/>
          </w:tcPr>
          <w:p>
            <w:r>
              <w:rPr>
                <w:sz w:val="18"/>
              </w:rPr>
              <w:t xml:space="preserve">задание: 3 × 47 кА / 227(250) В, резерв на любую серию, Modbus TCP</w:t>
            </w:r>
          </w:p>
        </w:tc>
        <w:tc>
          <w:tcPr>
            <w:tcW w:w="3600" w:type="dxa"/>
          </w:tcPr>
          <w:p>
            <w:r>
              <w:rPr>
                <w:sz w:val="18"/>
              </w:rPr>
              <w:t xml:space="preserve">ИД ч.2 табл. 4.2, п. 4.2.2</w:t>
            </w:r>
          </w:p>
        </w:tc>
      </w:tr>
      <w:tr>
        <w:tc>
          <w:tcPr>
            <w:tcW w:w="3200" w:type="dxa"/>
          </w:tcPr>
          <w:p>
            <w:r>
              <w:rPr>
                <w:sz w:val="18"/>
              </w:rPr>
              <w:t xml:space="preserve">Трубопроводы (вне БИ)</w:t>
            </w:r>
          </w:p>
        </w:tc>
        <w:tc>
          <w:tcPr>
            <w:tcW w:w="7480" w:type="dxa"/>
          </w:tcPr>
          <w:p>
            <w:r>
              <w:rPr>
                <w:sz w:val="18"/>
              </w:rPr>
              <w:t xml:space="preserve">граница — фланец перелива каждой ванны (5.2.3) / штуцер коллектора подачи (коллектор в комплекте ванн)</w:t>
            </w:r>
          </w:p>
        </w:tc>
        <w:tc>
          <w:tcPr>
            <w:tcW w:w="3600" w:type="dxa"/>
          </w:tcPr>
          <w:p>
            <w:r>
              <w:rPr>
                <w:sz w:val="18"/>
              </w:rPr>
              <w:t xml:space="preserve">ТЗ п. 5.2; ИД прил. В</w:t>
            </w:r>
          </w:p>
        </w:tc>
      </w:tr>
      <w:tr>
        <w:tc>
          <w:tcPr>
            <w:tcW w:w="3200" w:type="dxa"/>
          </w:tcPr>
          <w:p>
            <w:r>
              <w:rPr>
                <w:sz w:val="18"/>
              </w:rPr>
              <w:t xml:space="preserve">Теплообменники (вне БИ)</w:t>
            </w:r>
          </w:p>
        </w:tc>
        <w:tc>
          <w:tcPr>
            <w:tcW w:w="7480" w:type="dxa"/>
          </w:tcPr>
          <w:p>
            <w:r>
              <w:rPr>
                <w:sz w:val="18"/>
              </w:rPr>
              <w:t xml:space="preserve">тепловое задание 2 × 2500 кВт; 50 → 48,2 °С; вода 22,5 → 37,5 °С</w:t>
            </w:r>
          </w:p>
        </w:tc>
        <w:tc>
          <w:tcPr>
            <w:tcW w:w="3600" w:type="dxa"/>
          </w:tcPr>
          <w:p>
            <w:r>
              <w:rPr>
                <w:sz w:val="18"/>
              </w:rPr>
              <w:t xml:space="preserve">ИД ч.2 табл. 4.2, 3.1</w:t>
            </w:r>
          </w:p>
        </w:tc>
      </w:tr>
      <w:tr>
        <w:tc>
          <w:tcPr>
            <w:tcW w:w="3200" w:type="dxa"/>
          </w:tcPr>
          <w:p>
            <w:r>
              <w:rPr>
                <w:sz w:val="18"/>
              </w:rPr>
              <w:t xml:space="preserve">Аспирация (вне БИ)</w:t>
            </w:r>
          </w:p>
        </w:tc>
        <w:tc>
          <w:tcPr>
            <w:tcW w:w="7480" w:type="dxa"/>
          </w:tcPr>
          <w:p>
            <w:r>
              <w:rPr>
                <w:sz w:val="18"/>
              </w:rPr>
              <w:t xml:space="preserve">граница — фланец отсоса каждого из 180 укрытий (5.2.4); расход — совместное определение</w:t>
            </w:r>
          </w:p>
        </w:tc>
        <w:tc>
          <w:tcPr>
            <w:tcW w:w="3600" w:type="dxa"/>
          </w:tcPr>
          <w:p>
            <w:r>
              <w:rPr>
                <w:sz w:val="18"/>
              </w:rPr>
              <w:t xml:space="preserve">ТЗ п. 5.2; ИД п. 4.1.2</w:t>
            </w:r>
          </w:p>
        </w:tc>
      </w:tr>
      <w:tr>
        <w:tc>
          <w:tcPr>
            <w:tcW w:w="3200" w:type="dxa"/>
          </w:tcPr>
          <w:p>
            <w:r>
              <w:rPr>
                <w:sz w:val="18"/>
              </w:rPr>
              <w:t xml:space="preserve">Насосы (вне БИ)</w:t>
            </w:r>
          </w:p>
        </w:tc>
        <w:tc>
          <w:tcPr>
            <w:tcW w:w="7480" w:type="dxa"/>
          </w:tcPr>
          <w:p>
            <w:r>
              <w:rPr>
                <w:sz w:val="18"/>
              </w:rPr>
              <w:t xml:space="preserve">задание ≈820 м³/ч на серию, частотное регулирование от FIC-01</w:t>
            </w:r>
          </w:p>
        </w:tc>
        <w:tc>
          <w:tcPr>
            <w:tcW w:w="3600" w:type="dxa"/>
          </w:tcPr>
          <w:p>
            <w:r>
              <w:rPr>
                <w:sz w:val="18"/>
              </w:rPr>
              <w:t xml:space="preserve">расчёт БИ; ИД табл. 3.1</w:t>
            </w:r>
          </w:p>
        </w:tc>
      </w:tr>
      <w:tr>
        <w:tc>
          <w:tcPr>
            <w:tcW w:w="3200" w:type="dxa"/>
          </w:tcPr>
          <w:p>
            <w:r>
              <w:rPr>
                <w:sz w:val="18"/>
              </w:rPr>
              <w:t xml:space="preserve">Краны</w:t>
            </w:r>
          </w:p>
        </w:tc>
        <w:tc>
          <w:tcPr>
            <w:tcW w:w="7480" w:type="dxa"/>
          </w:tcPr>
          <w:p>
            <w:r>
              <w:rPr>
                <w:sz w:val="18"/>
              </w:rPr>
              <w:t xml:space="preserve">спецоснащение и автоматика — Лот №3; базовые краны — модернизация существующих ЦЭМ</w:t>
            </w:r>
          </w:p>
        </w:tc>
        <w:tc>
          <w:tcPr>
            <w:tcW w:w="3600" w:type="dxa"/>
          </w:tcPr>
          <w:p>
            <w:r>
              <w:rPr>
                <w:sz w:val="18"/>
              </w:rPr>
              <w:t xml:space="preserve">ТЗ п. 5.3; ИД п. 4.2.2</w:t>
            </w:r>
          </w:p>
        </w:tc>
      </w:tr>
      <w:tr>
        <w:tc>
          <w:tcPr>
            <w:tcW w:w="3200" w:type="dxa"/>
          </w:tcPr>
          <w:p>
            <w:r>
              <w:rPr>
                <w:sz w:val="18"/>
              </w:rPr>
              <w:t xml:space="preserve">Шлам (вне БИ)</w:t>
            </w:r>
          </w:p>
        </w:tc>
        <w:tc>
          <w:tcPr>
            <w:tcW w:w="7480" w:type="dxa"/>
          </w:tcPr>
          <w:p>
            <w:r>
              <w:rPr>
                <w:sz w:val="18"/>
              </w:rPr>
              <w:t xml:space="preserve">граница — донная пробка ванны; рельсы нутча и закладные — в комплекте ванн</w:t>
            </w:r>
          </w:p>
        </w:tc>
        <w:tc>
          <w:tcPr>
            <w:tcW w:w="3600" w:type="dxa"/>
          </w:tcPr>
          <w:p>
            <w:r>
              <w:rPr>
                <w:sz w:val="18"/>
              </w:rPr>
              <w:t xml:space="preserve">ИД п. 4.1.2, прил. В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5.3 Смежное оборудование вне БИ (справочно)</w:t>
      </w:r>
    </w:p>
    <w:p>
      <w:r>
        <w:rPr>
          <w:sz w:val="20"/>
        </w:rPr>
        <w:t xml:space="preserve">Оборудование смежных участков гидрометаллургического передела, примыкающее к лоту по материальному потоку. В объём поставки лота не входит; параметры заданы ИД ч.2 табл. 4.1 и приводятся для увязки границ и проверки исходных требований смежникам.</w:t>
      </w:r>
    </w:p>
    <w:tbl>
      <w:tblPr>
        <w:tblW w:w="1428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3300"/>
        <w:gridCol w:w="3200"/>
        <w:gridCol w:w="3200"/>
        <w:gridCol w:w="1100"/>
        <w:gridCol w:w="1900"/>
        <w:gridCol w:w="1580"/>
      </w:tblGrid>
      <w:tr>
        <w:trPr>
          <w:tblHeader/>
          <w:cantSplit/>
        </w:trPr>
        <w:tc>
          <w:tcPr>
            <w:tcW w:w="3300" w:type="dxa"/>
            <w:shd w:val="clear" w:fill="EFEFEF"/>
          </w:tcPr>
          <w:p>
            <w:r>
              <w:rPr>
                <w:b/>
                <w:sz w:val="16"/>
              </w:rPr>
              <w:t xml:space="preserve">Наименование (поз. по ИД)</w:t>
            </w:r>
          </w:p>
        </w:tc>
        <w:tc>
          <w:tcPr>
            <w:tcW w:w="3200" w:type="dxa"/>
            <w:shd w:val="clear" w:fill="EFEFEF"/>
          </w:tcPr>
          <w:p>
            <w:r>
              <w:rPr>
                <w:b/>
                <w:sz w:val="16"/>
              </w:rPr>
              <w:t xml:space="preserve">Назначение</w:t>
            </w:r>
          </w:p>
        </w:tc>
        <w:tc>
          <w:tcPr>
            <w:tcW w:w="3200" w:type="dxa"/>
            <w:shd w:val="clear" w:fill="EFEFEF"/>
          </w:tcPr>
          <w:p>
            <w:r>
              <w:rPr>
                <w:b/>
                <w:sz w:val="16"/>
              </w:rPr>
              <w:t xml:space="preserve">Основные параметры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6"/>
              </w:rPr>
              <w:t xml:space="preserve">Кол-во</w:t>
            </w:r>
          </w:p>
        </w:tc>
        <w:tc>
          <w:tcPr>
            <w:tcW w:w="1900" w:type="dxa"/>
            <w:shd w:val="clear" w:fill="EFEFEF"/>
          </w:tcPr>
          <w:p>
            <w:r>
              <w:rPr>
                <w:b/>
                <w:sz w:val="16"/>
              </w:rPr>
              <w:t xml:space="preserve">Материал</w:t>
            </w:r>
          </w:p>
        </w:tc>
        <w:tc>
          <w:tcPr>
            <w:tcW w:w="1580" w:type="dxa"/>
            <w:shd w:val="clear" w:fill="EFEFEF"/>
          </w:tcPr>
          <w:p>
            <w:r>
              <w:rPr>
                <w:b/>
                <w:sz w:val="16"/>
              </w:rPr>
              <w:t xml:space="preserve">Габариты</w:t>
            </w:r>
          </w:p>
        </w:tc>
      </w:tr>
      <w:tr>
        <w:trPr>
          <w:cantSplit/>
        </w:trPr>
        <w:tc>
          <w:tcPr>
            <w:tcW w:w="3300" w:type="dxa"/>
          </w:tcPr>
          <w:p>
            <w:r>
              <w:rPr>
                <w:sz w:val="16"/>
              </w:rPr>
              <w:t xml:space="preserve">Намывные фильтры контрольной фильтрации</w:t>
            </w:r>
          </w:p>
          <w:p>
            <w:r>
              <w:rPr>
                <w:color w:val="555555"/>
                <w:sz w:val="14"/>
              </w:rPr>
              <w:t xml:space="preserve">Поз. по ИД: 4.1.20</w:t>
            </w:r>
          </w:p>
        </w:tc>
        <w:tc>
          <w:tcPr>
            <w:tcW w:w="3200" w:type="dxa"/>
          </w:tcPr>
          <w:p>
            <w:r>
              <w:rPr>
                <w:sz w:val="16"/>
              </w:rPr>
              <w:t xml:space="preserve">Получение фильтрата с минимальным количеством твёрдого — питание Лотов №2 и №3</w:t>
            </w:r>
          </w:p>
        </w:tc>
        <w:tc>
          <w:tcPr>
            <w:tcW w:w="3200" w:type="dxa"/>
          </w:tcPr>
          <w:p>
            <w:r>
              <w:rPr>
                <w:sz w:val="16"/>
              </w:rPr>
              <w:t xml:space="preserve">Удельная нагрузка 0,50 м³/(м²·ч); поток 130,0 м³/ч; расч. 259,9 м²</w:t>
            </w:r>
          </w:p>
          <w:p>
            <w:r>
              <w:rPr>
                <w:i/>
                <w:color w:val="555555"/>
                <w:sz w:val="14"/>
              </w:rPr>
              <w:t xml:space="preserve">Время набора осадка 90 % от продолжительности цикла; предусмотреть линии перефильтрации мутного фильтрата и проливов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3 (параллельная работа)</w:t>
            </w:r>
          </w:p>
        </w:tc>
        <w:tc>
          <w:tcPr>
            <w:tcW w:w="1900" w:type="dxa"/>
          </w:tcPr>
          <w:p>
            <w:r>
              <w:rPr>
                <w:sz w:val="16"/>
              </w:rPr>
              <w:t xml:space="preserve">Hastelloy G-35 или аналог</w:t>
            </w:r>
          </w:p>
        </w:tc>
        <w:tc>
          <w:tcPr>
            <w:tcW w:w="1580" w:type="dxa"/>
          </w:tcPr>
          <w:p>
            <w:r>
              <w:rPr>
                <w:sz w:val="16"/>
              </w:rPr>
              <w:t xml:space="preserve">S = 120 м²; факт. 360 м²; коэфф. запаса 1,2</w:t>
            </w:r>
          </w:p>
        </w:tc>
      </w:tr>
      <w:tr>
        <w:trPr>
          <w:cantSplit/>
        </w:trPr>
        <w:tc>
          <w:tcPr>
            <w:tcW w:w="3300" w:type="dxa"/>
          </w:tcPr>
          <w:p>
            <w:r>
              <w:rPr>
                <w:sz w:val="16"/>
              </w:rPr>
              <w:t xml:space="preserve">Теплообменник подогрева бедного электролита</w:t>
            </w:r>
          </w:p>
          <w:p>
            <w:r>
              <w:rPr>
                <w:color w:val="555555"/>
                <w:sz w:val="14"/>
              </w:rPr>
              <w:t xml:space="preserve">Поз. по ИД: 4.1.17</w:t>
            </w:r>
          </w:p>
        </w:tc>
        <w:tc>
          <w:tcPr>
            <w:tcW w:w="3200" w:type="dxa"/>
          </w:tcPr>
          <w:p>
            <w:r>
              <w:rPr>
                <w:sz w:val="16"/>
              </w:rPr>
              <w:t xml:space="preserve">Подогрев оборотного раствора фильтратом от выщелачивания перед каскадом; пусковой подогрев паром</w:t>
            </w:r>
          </w:p>
        </w:tc>
        <w:tc>
          <w:tcPr>
            <w:tcW w:w="3200" w:type="dxa"/>
          </w:tcPr>
          <w:p>
            <w:r>
              <w:rPr>
                <w:sz w:val="16"/>
              </w:rPr>
              <w:t xml:space="preserve">Тепловая мощность 1240 кВт расч.; 50,0 → 59,4 °С по 124,7 м³/ч; 75,0 → 65,6 °С по 129,5 м³/ч</w:t>
            </w:r>
          </w:p>
          <w:p>
            <w:r>
              <w:rPr>
                <w:i/>
                <w:color w:val="555555"/>
                <w:sz w:val="14"/>
              </w:rPr>
              <w:t xml:space="preserve">Пластинчатый секционный; резервная секция на посекционную чистку от гипсовых инкрустаций; обходные линии для тонкого регулирования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1</w:t>
            </w:r>
          </w:p>
        </w:tc>
        <w:tc>
          <w:tcPr>
            <w:tcW w:w="1900" w:type="dxa"/>
          </w:tcPr>
          <w:p>
            <w:r>
              <w:rPr>
                <w:sz w:val="16"/>
              </w:rPr>
              <w:t xml:space="preserve">Hastelloy G-35 или аналог</w:t>
            </w:r>
          </w:p>
        </w:tc>
        <w:tc>
          <w:tcPr>
            <w:tcW w:w="1580" w:type="dxa"/>
          </w:tcPr>
          <w:p>
            <w:r>
              <w:rPr>
                <w:sz w:val="16"/>
              </w:rPr>
              <w:t xml:space="preserve">W = 1500 кВт; коэфф. запаса 1,2</w:t>
            </w:r>
          </w:p>
        </w:tc>
      </w:tr>
    </w:tbl>
    <w:p>
      <w:pPr>
        <w:pStyle w:val="Heading1"/>
      </w:pPr>
      <w:r>
        <w:rPr>
          <w:b/>
          <w:sz w:val="28"/>
        </w:rPr>
        <w:t xml:space="preserve">6. Открытые позиции</w:t>
      </w:r>
    </w:p>
    <w:p>
      <w:r>
        <w:rPr>
          <w:sz w:val="20"/>
        </w:rPr>
        <w:t xml:space="preserve">Перечень вопросов, определяемых на стадии Базового инжиниринга и по результатам запроса ТКП; до их закрытия соответствующие графы спецификации носят предварительный характер.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Число закорачивающих рам (по графику чисток и совмещению со сменой анодов)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Перечень «основного» оборудования для опросных листов и ТКП — закрепить протоколом с Заказчиком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Конструктив циркуляционных баков (сталь / железобетон с футеровкой по месту) — вариантная проработка БИ с оценкой стоимости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Сроки изготовления по позициям — по бюджетным ТКП (в ИД не заданы); критический путь — ванны и КСМ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Темп поставки ванн под график монтажа рядов (шт./мес) — согласовать с изготовителем и монтажной организацией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Габариты и масса по 7 позициям из 14 (в исходных данных не заданы) — по ТКП изготовителей; массы самых тяжёлых неразъёмных частей — в требованиях к монтажу.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Установленная мощность электроприёмников по 13 позициям из 14 — по ТКП; сводная таблица электроприёмников — в документе по электроснабжению.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Итоговая редакция спецификации (характеристики, габариты, массы, энергопотребление по всем позициям) — после получения бюджетных ТКП не менее чем от 2–3 изготовителей на каждую позицию основного оборудования.</w:t>
      </w:r>
    </w:p>
    <w:sectPr>
      <w:pgSz w:w="16838" w:h="11906" w:orient="landscape"/>
      <w:pgMar w:top="1134" w:right="1134" w:bottom="1134" w:left="1134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ООО «КВАНТ» · проект ОВЭ-75</Application>
  <Company>ООО «КВАНТ»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ОВЭ-75 · l3 so</dc:title>
  <dc:creator>ООО «КВАНТ»</dc:creator>
  <cp:lastModifiedBy>ООО «КВАНТ»</cp:lastModifiedBy>
  <dcterms:created xsi:type="dcterms:W3CDTF">2026-09-02T09:00:00Z</dcterms:created>
  <dcterms:modified xsi:type="dcterms:W3CDTF">2026-09-02T09:00:00Z</dcterms:modified>
</cp:coreProperties>
</file>