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документа</w:t>
      </w:r>
    </w:p>
    <w:p>
      <w:r>
        <w:rPr>
          <w:sz w:val="20"/>
        </w:rPr>
        <w:t xml:space="preserve">Документ содержит предварительные нагрузки от технологического оборудования Лота №4 «Склад готовой продукции» на строительные конструкции и фундаменты и требования к строительной части, необходимые для разработки конструктивных решений. Документ выполняет требования состава Базового инжиниринга «Планы строительных конструкций с нагрузками» и «Планы фундаментов с предварительными нагрузками, включая предварительные динамические нагрузки (с запасом)» (ТЗ на БИ ред. 4.1).</w:t>
      </w:r>
    </w:p>
    <w:p>
      <w:r>
        <w:rPr>
          <w:sz w:val="20"/>
        </w:rPr>
        <w:t xml:space="preserve">Текстовая часть включает ведомость предварительных нагрузок по оборудованию лота, раздел динамических нагрузок, требования к строительной части и перечень характеристик, уточняемых по техническим предложениям изготовителей. Графическая часть — планы на характерных отметках и разрезы с привязкой оборудования к разбивочным осям — выпускается в составе компоновочных решений лота; нагрузки настоящего документа наносятся на эти планы по узлам опирания в форме, приведённой в разделе 7.</w:t>
      </w:r>
    </w:p>
    <w:p>
      <w:r>
        <w:rPr>
          <w:sz w:val="20"/>
        </w:rPr>
        <w:t xml:space="preserve">Нагрузки настоящего документа отнесены к размещению склада в существующем корпусе металлургического цеха (резервный сценарий): многопролётный корпус, пролёты 24 м (крановые 22 м), шаг колонн 6 м, длина корпуса около 186 м. В базовом сценарии нового строительства (ТЗ ред. 4.1 п. 1.3) полы и железнодорожный фронт проектируются заново — приведённые значения служат заданием на новый корпус склада.</w:t>
      </w:r>
    </w:p>
    <w:p>
      <w:r>
        <w:rPr>
          <w:color w:val="666666"/>
          <w:sz w:val="17"/>
        </w:rPr>
        <w:t xml:space="preserve">Источник: ТЗ на БИ ред. 4.1 (п. 1.3 — базис размещения, приложение №5 — весовое хозяйство); ИД ч.2 разд. 4.2.2 (существующий корпус и крановое хозяйство); расчётная модель КВАНТ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ОВЭ75-БИ-Л4-ПЗ — Пояснительная записка</w:t>
      </w:r>
    </w:p>
    <w:p>
      <w:r>
        <w:rPr>
          <w:sz w:val="20"/>
        </w:rPr>
        <w:t xml:space="preserve">— ОВЭ75-БИ-Л4-КР — Компоновочные решения (планы, разрезы)</w:t>
      </w:r>
    </w:p>
    <w:p>
      <w:r>
        <w:rPr>
          <w:sz w:val="20"/>
        </w:rPr>
        <w:t xml:space="preserve">— ОВЭ75-БИ-Л4-СО — Спецификация оборудования с техническими характеристиками</w:t>
      </w:r>
    </w:p>
    <w:p>
      <w:r>
        <w:rPr>
          <w:sz w:val="20"/>
        </w:rPr>
        <w:t xml:space="preserve">— ОВЭ75-БИ-Л4-ОЛ — Опросные листы основного оборудования (альбом)</w:t>
      </w:r>
    </w:p>
    <w:p>
      <w:r>
        <w:rPr>
          <w:sz w:val="20"/>
        </w:rPr>
        <w:t xml:space="preserve">— ОВЭ75-БИ-Л4-МТ — Требования к монтажу (включая вес самых тяжёлых частей)</w:t>
      </w:r>
    </w:p>
    <w:p>
      <w:pPr>
        <w:pStyle w:val="Heading2"/>
      </w:pPr>
      <w:r>
        <w:rPr>
          <w:b/>
          <w:sz w:val="24"/>
        </w:rPr>
        <w:t xml:space="preserve">1.2 Стадия достоверности нагрузок</w:t>
      </w:r>
    </w:p>
    <w:p>
      <w:r>
        <w:rPr>
          <w:sz w:val="20"/>
        </w:rPr>
        <w:t xml:space="preserve">Нагрузки настоящего документа предварительные. На стадии Базового инжиниринга часть масс задана исходными данными Заказчика, часть получена расчётом по объёмам и плотностям, часть оценена по геометрии и аналогам, часть изготовителем не задана и определяется после выбора поставщика. Каждая строка ведомости относится к одной из четырёх категорий достоверности; порядок использования значений при проектировании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100"/>
        <w:gridCol w:w="2700"/>
        <w:gridCol w:w="2400"/>
        <w:gridCol w:w="3154"/>
      </w:tblGrid>
      <w:tr>
        <w:trPr>
          <w:tblHeader/>
          <w:cantSplit/>
        </w:trPr>
        <w:tc>
          <w:tcPr>
            <w:tcW w:w="1100" w:type="dxa"/>
            <w:shd w:val="clear" w:fill="EFEFEF"/>
          </w:tcPr>
          <w:p>
            <w:r>
              <w:rPr>
                <w:b/>
                <w:sz w:val="15"/>
              </w:rPr>
              <w:t xml:space="preserve">Категория</w:t>
            </w:r>
          </w:p>
        </w:tc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Признак</w:t>
            </w:r>
          </w:p>
        </w:tc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Использование в расчёте</w:t>
            </w:r>
          </w:p>
        </w:tc>
        <w:tc>
          <w:tcPr>
            <w:tcW w:w="3154" w:type="dxa"/>
            <w:shd w:val="clear" w:fill="EFEFEF"/>
          </w:tcPr>
          <w:p>
            <w:r>
              <w:rPr>
                <w:b/>
                <w:sz w:val="15"/>
              </w:rPr>
              <w:t xml:space="preserve">Порядок уточнения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А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Масса или нагрузка задана исходными данными Заказчика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без изменения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при выдаче конструкторской документации изготовителя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Б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Нагрузка получена расчётом по объёму, плотности и уровню заполнения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 расчёт как предварительная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фактическим плотностям и уровням заполнения на стадии БИ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В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Предварительная оценка Исполнителя по геометрии и аналогам; задана диапазоном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Принимается верхняя граница диапазона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Уточняется по опросным листам и техническим предложениям</w:t>
            </w:r>
          </w:p>
        </w:tc>
      </w:tr>
      <w:tr>
        <w:trPr>
          <w:cantSplit/>
        </w:trPr>
        <w:tc>
          <w:tcPr>
            <w:tcW w:w="1100" w:type="dxa"/>
          </w:tcPr>
          <w:p>
            <w:r>
              <w:rPr>
                <w:sz w:val="17"/>
              </w:rPr>
              <w:t xml:space="preserve">Г</w:t>
            </w:r>
          </w:p>
        </w:tc>
        <w:tc>
          <w:tcPr>
            <w:tcW w:w="2700" w:type="dxa"/>
          </w:tcPr>
          <w:p>
            <w:r>
              <w:rPr>
                <w:sz w:val="17"/>
              </w:rPr>
              <w:t xml:space="preserve">Характеристика изготовителем не задана</w:t>
            </w:r>
          </w:p>
        </w:tc>
        <w:tc>
          <w:tcPr>
            <w:tcW w:w="2400" w:type="dxa"/>
          </w:tcPr>
          <w:p>
            <w:r>
              <w:rPr>
                <w:sz w:val="17"/>
              </w:rPr>
              <w:t xml:space="preserve">Резервируются место установки и предельная масса</w:t>
            </w:r>
          </w:p>
        </w:tc>
        <w:tc>
          <w:tcPr>
            <w:tcW w:w="3154" w:type="dxa"/>
          </w:tcPr>
          <w:p>
            <w:r>
              <w:rPr>
                <w:sz w:val="17"/>
              </w:rPr>
              <w:t xml:space="preserve">Вносится по ТКП при выдаче строительного задания</w:t>
            </w:r>
          </w:p>
        </w:tc>
      </w:tr>
    </w:tbl>
    <w:p>
      <w:r>
        <w:rPr>
          <w:sz w:val="20"/>
        </w:rPr>
        <w:t xml:space="preserve">Общее правило выпуска: там, где значение задано диапазоном, в расчёт конструкций принимается верхняя граница диапазона; там, где значение не задано, в планах резервируются место установки и предельная масса, а расчёт выполняется повторно после получения данных изготовителя. Коэффициенты надёжности по нагрузке и сочетания принимаются по СП 20.13330: для оборудования с известной массой 1,05–1,2, для жидкости 1,2.</w:t>
      </w:r>
    </w:p>
    <w:p>
      <w:r>
        <w:rPr>
          <w:color w:val="555555"/>
          <w:sz w:val="18"/>
        </w:rPr>
        <w:t xml:space="preserve">Записи в графах ведомости: «по ТКП изготовителя» — характеристика в исходных данных не задана и уточняется по техническому предложению; «определяется на стадии БИ» — значение дают расчёты и решения текущей стадии; знак «—» — характеристика к позиции не применима.</w:t>
      </w:r>
    </w:p>
    <w:p>
      <w:pPr>
        <w:pStyle w:val="Heading2"/>
      </w:pPr>
      <w:r>
        <w:rPr>
          <w:b/>
          <w:sz w:val="24"/>
        </w:rPr>
        <w:t xml:space="preserve">1.3 Нормативная база расчёта нагрузок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700"/>
        <w:gridCol w:w="6654"/>
      </w:tblGrid>
      <w:tr>
        <w:trPr>
          <w:tblHeader/>
          <w:cantSplit/>
        </w:trPr>
        <w:tc>
          <w:tcPr>
            <w:tcW w:w="2700" w:type="dxa"/>
            <w:shd w:val="clear" w:fill="EFEFEF"/>
          </w:tcPr>
          <w:p>
            <w:r>
              <w:rPr>
                <w:b/>
                <w:sz w:val="15"/>
              </w:rPr>
              <w:t xml:space="preserve">Документ</w:t>
            </w:r>
          </w:p>
        </w:tc>
        <w:tc>
          <w:tcPr>
            <w:tcW w:w="6654" w:type="dxa"/>
            <w:shd w:val="clear" w:fill="EFEFEF"/>
          </w:tcPr>
          <w:p>
            <w:r>
              <w:rPr>
                <w:b/>
                <w:sz w:val="15"/>
              </w:rPr>
              <w:t xml:space="preserve">Область применения в расчёте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20.13330.2016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Нагрузки и воздействия — полезные нагрузки складирования, коэффициенты надёжности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29.13330.2011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Полы — расчёт на сосредоточенные и распределённые нагрузки, ровность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63.13330 (актуальная редакция)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Бетонные и железобетонные конструкции — новая плита пола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71.13330.2017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Изоляционные и отделочные покрытия — приёмка полов, контроль ровности двухметровой рейкой</w:t>
            </w:r>
          </w:p>
        </w:tc>
      </w:tr>
      <w:tr>
        <w:trPr>
          <w:cantSplit/>
        </w:trPr>
        <w:tc>
          <w:tcPr>
            <w:tcW w:w="2700" w:type="dxa"/>
          </w:tcPr>
          <w:p>
            <w:r>
              <w:rPr>
                <w:sz w:val="17"/>
              </w:rPr>
              <w:t xml:space="preserve">СП 26.13330.2012</w:t>
            </w:r>
          </w:p>
        </w:tc>
        <w:tc>
          <w:tcPr>
            <w:tcW w:w="6654" w:type="dxa"/>
          </w:tcPr>
          <w:p>
            <w:r>
              <w:rPr>
                <w:sz w:val="17"/>
              </w:rPr>
              <w:t xml:space="preserve">Фундаменты машин с динамическими нагрузками — справочно (виброфундаменты в лоте не требуются)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2. Климатические, сейсмические и температурные воздействия</w:t>
      </w:r>
    </w:p>
    <w:p>
      <w:r>
        <w:rPr>
          <w:sz w:val="20"/>
        </w:rPr>
        <w:t xml:space="preserve">Условия площадки — промышленная площадка в городе Мончегорске Мурманской области — общие для всех лотов комплекса и принимаются по Техническому заданию и исходным данным Заказчика.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500"/>
        <w:gridCol w:w="5400"/>
        <w:gridCol w:w="1454"/>
      </w:tblGrid>
      <w:tr>
        <w:trPr>
          <w:tblHeader/>
          <w:cantSplit/>
        </w:trPr>
        <w:tc>
          <w:tcPr>
            <w:tcW w:w="250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Воздействие, условие</w:t>
            </w:r>
          </w:p>
        </w:tc>
        <w:tc>
          <w:tcPr>
            <w:tcW w:w="5400" w:type="dxa"/>
            <w:shd w:val="clear" w:fill="EFEFEF"/>
          </w:tcPr>
          <w:p>
            <w:r>
              <w:rPr>
                <w:b/>
                <w:sz w:val="15"/>
              </w:rPr>
              <w:t xml:space="preserve">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Снеговая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V снеговой район, S₀ = 3,2 кПа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Ветровая нагрузка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 ветровой район, W₀ = 0,30 кПа; зарегистрированный порыв 33 м/с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Сейсмичность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6 баллов по ОСР-2015-В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2.9.4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Температура наружного воздуха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Наиболее холодная пятидневка −34 °C (обеспеченность 0,98) и −30 °C (0,92); наиболее холодные сутки −40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Отопительный период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271 сут при средней температуре −4,5 °C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Строительно-климатическая зона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IIА, субарктический климат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ИД ч.1</w:t>
            </w:r>
          </w:p>
        </w:tc>
      </w:tr>
      <w:tr>
        <w:trPr>
          <w:cantSplit/>
        </w:trPr>
        <w:tc>
          <w:tcPr>
            <w:tcW w:w="2500" w:type="dxa"/>
          </w:tcPr>
          <w:p>
            <w:r>
              <w:rPr>
                <w:sz w:val="17"/>
              </w:rPr>
              <w:t xml:space="preserve">Грунтовые условия</w:t>
            </w:r>
          </w:p>
        </w:tc>
        <w:tc>
          <w:tcPr>
            <w:tcW w:w="5400" w:type="dxa"/>
          </w:tcPr>
          <w:p>
            <w:r>
              <w:rPr>
                <w:sz w:val="17"/>
              </w:rPr>
              <w:t xml:space="preserve">Особые условия (мерзлота, просадочность, карст) не выявлены; инженерно-геологические изыскания пятна застройки — в составе БИ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ТЗ п. 2.9.6</w:t>
            </w:r>
          </w:p>
        </w:tc>
      </w:tr>
    </w:tbl>
    <w:p>
      <w:r>
        <w:rPr>
          <w:sz w:val="20"/>
        </w:rPr>
        <w:t xml:space="preserve">Климатические нагрузки на существующее здание не меняются. Для новых наружных элементов (навес автомобильного фронта) принимаются снеговая нагрузка V района 3,2 кПа и ветровая II района 0,30 кПа, сейсмическое воздействие — 6 баллов.</w:t>
      </w:r>
    </w:p>
    <w:p>
      <w:pPr>
        <w:pStyle w:val="Heading1"/>
      </w:pPr>
      <w:r>
        <w:rPr>
          <w:b/>
          <w:sz w:val="28"/>
        </w:rPr>
        <w:t xml:space="preserve">3. Ведомость предварительных нагрузок от технологического оборудования</w:t>
      </w:r>
    </w:p>
    <w:p>
      <w:r>
        <w:rPr>
          <w:sz w:val="20"/>
        </w:rPr>
        <w:t xml:space="preserve">Ведомость составлена по перечню основного и вспомогательного технологического оборудования лота. Массы приведены в тоннах: «пустого» — масса оборудования без заполнения, «рабочая» — масса в рабочем состоянии с материалом, раствором или водой. Статическая нагрузка приведена в единицах источника; при отсутствии данных изготовителя указан порядок уточнения. Графа динамической составляющей заполняется для всех позиций: для машин с вращающимися частями — с указанием частоты возмущения, для остальных — с указанием принятого коэффициента динамичности либо отсутствия динамики.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1630"/>
        <w:gridCol w:w="1350"/>
        <w:gridCol w:w="1554"/>
        <w:gridCol w:w="1300"/>
        <w:gridCol w:w="1450"/>
        <w:gridCol w:w="155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5"/>
              </w:rPr>
              <w:t xml:space="preserve">Поз.</w:t>
            </w:r>
          </w:p>
        </w:tc>
        <w:tc>
          <w:tcPr>
            <w:tcW w:w="1630" w:type="dxa"/>
            <w:shd w:val="clear" w:fill="EFEFEF"/>
          </w:tcPr>
          <w:p>
            <w:r>
              <w:rPr>
                <w:b/>
                <w:sz w:val="15"/>
              </w:rPr>
              <w:t xml:space="preserve">Наименование, тип</w:t>
            </w:r>
          </w:p>
        </w:tc>
        <w:tc>
          <w:tcPr>
            <w:tcW w:w="1350" w:type="dxa"/>
            <w:shd w:val="clear" w:fill="EFEFEF"/>
          </w:tcPr>
          <w:p>
            <w:r>
              <w:rPr>
                <w:b/>
                <w:sz w:val="15"/>
              </w:rPr>
              <w:t xml:space="preserve">Отметка, место установки</w:t>
            </w:r>
          </w:p>
        </w:tc>
        <w:tc>
          <w:tcPr>
            <w:tcW w:w="1554" w:type="dxa"/>
            <w:shd w:val="clear" w:fill="EFEFEF"/>
          </w:tcPr>
          <w:p>
            <w:r>
              <w:rPr>
                <w:b/>
                <w:sz w:val="15"/>
              </w:rPr>
              <w:t xml:space="preserve">Масса, т: пустого / рабочая</w:t>
            </w:r>
          </w:p>
        </w:tc>
        <w:tc>
          <w:tcPr>
            <w:tcW w:w="1300" w:type="dxa"/>
            <w:shd w:val="clear" w:fill="EFEFEF"/>
          </w:tcPr>
          <w:p>
            <w:r>
              <w:rPr>
                <w:b/>
                <w:sz w:val="15"/>
              </w:rPr>
              <w:t xml:space="preserve">Тип опирания</w:t>
            </w:r>
          </w:p>
        </w:tc>
        <w:tc>
          <w:tcPr>
            <w:tcW w:w="1450" w:type="dxa"/>
            <w:shd w:val="clear" w:fill="EFEFEF"/>
          </w:tcPr>
          <w:p>
            <w:r>
              <w:rPr>
                <w:b/>
                <w:sz w:val="15"/>
              </w:rPr>
              <w:t xml:space="preserve">Статическая нагрузка</w:t>
            </w:r>
          </w:p>
        </w:tc>
        <w:tc>
          <w:tcPr>
            <w:tcW w:w="1550" w:type="dxa"/>
            <w:shd w:val="clear" w:fill="EFEFEF"/>
          </w:tcPr>
          <w:p>
            <w:r>
              <w:rPr>
                <w:b/>
                <w:sz w:val="15"/>
              </w:rPr>
              <w:t xml:space="preserve">Динамическая составляющая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Складирование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Стопы пакетов катодной меди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адресного хранения, пол по грунту; линии стоп 1,0 × 1,0 м, проезды 3,5–4,0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—</w:t>
            </w:r>
          </w:p>
          <w:p>
            <w:r>
              <w:rPr>
                <w:sz w:val="14"/>
              </w:rPr>
              <w:t xml:space="preserve">Рабочая: 2,5 ± 0,05 на пакет (проверочный максимум 2,55)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СП 20.13330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Непосредственно на плиту пола через профилированные листы пакета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24,5 кПа на ярус; 2 яруса — 49,1 / 58,9 кПа; 3 яруса — 73,6 / 88,3 кПа (нормативная / расчётная)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Нет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Автопогрузчик-штабелёр фронтальный, г/п 5 т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Проезды и рабочие зоны склада, пол по грунту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8–11 полная масса (ориентировочно)</w:t>
            </w:r>
          </w:p>
          <w:p>
            <w:r>
              <w:rPr>
                <w:sz w:val="14"/>
              </w:rPr>
              <w:t xml:space="preserve">Рабочая: С пакетом 2,5 на вилах</w:t>
            </w:r>
          </w:p>
          <w:p>
            <w:r>
              <w:rPr>
                <w:color w:val="666666"/>
                <w:sz w:val="13"/>
              </w:rPr>
              <w:t xml:space="preserve">Источник: Оценка БИ; уточняется по ТКП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Колёсная нагрузка на плиту пола; суперэластичные шины, малое пятно контакта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Колесо ≈3,5–4,5 тс (до 80 % массы на переднюю ось при поднятом грузе)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Удары колеса на кромках деформационных швов; см. раздел 4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Учёт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Вагонные весы на железнодорожном пути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Весовой участок пути в зоне железнодорожного фронта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Грузоприёмное устройство — по ТКП</w:t>
            </w:r>
          </w:p>
          <w:p>
            <w:r>
              <w:rPr>
                <w:sz w:val="14"/>
              </w:rPr>
              <w:t xml:space="preserve">Рабочая: Брутто полувагона ≈90–92 (груз 67,5 и тара 22–24, справочно)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прил. №5 к ТЗ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Отдельный фундамент на пути, изолированный от плиты пола; демаркация зоны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Осевые нагрузки 22,4–22,9 тс на ось — в пределах стандартной осевой сети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Проход и торможение состава; коэффициент не менее 1,2 (предварительно);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Автомобильные весы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Подъезд к воротам автомобильной отгрузки (вне здания либо в тамбуре)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</w:t>
            </w:r>
          </w:p>
          <w:p>
            <w:r>
              <w:rPr>
                <w:sz w:val="14"/>
              </w:rPr>
              <w:t xml:space="preserve">Рабочая: Брутто автопоезда — по типам подвижного состава</w:t>
            </w:r>
          </w:p>
          <w:p>
            <w:r>
              <w:rPr>
                <w:color w:val="666666"/>
                <w:sz w:val="13"/>
              </w:rPr>
              <w:t xml:space="preserve">Источник: Прил. №5 к ТЗ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Фундамент или приямок с пандусами, отбойниками и демаркацией зоны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наибольшей полной массе автопоезда, принимаемого к отгрузке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Наезд и торможение автопоезда; коэффициенты по требованиям изготовителя весов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Платформенные конвейерные весы, наибольший предел взвешивания 3 т (2 шт.)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Линия приёмки пакетов от катодосдирочной машины,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≤3 монтажная единица</w:t>
            </w:r>
          </w:p>
          <w:p>
            <w:r>
              <w:rPr>
                <w:sz w:val="14"/>
              </w:rPr>
              <w:t xml:space="preserve">Рабочая: С пакетом 2,5 на грузоприёмном устройстве</w:t>
            </w:r>
          </w:p>
          <w:p>
            <w:r>
              <w:rPr>
                <w:color w:val="666666"/>
                <w:sz w:val="13"/>
              </w:rPr>
              <w:t xml:space="preserve">Источник: Прил. №5 к ТЗ;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Жёсткое основание в плите пола с разделительным швом от опор конвейера; приямки с электрообогревом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и пакет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Ударная нагрузка при передаче пакета; демпфирование по ТКП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6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Стенд сверления проб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приёмки и разбраковки,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≤3</w:t>
            </w:r>
          </w:p>
          <w:p>
            <w:r>
              <w:rPr>
                <w:sz w:val="14"/>
              </w:rPr>
              <w:t xml:space="preserve">Рабочая: С пакетом на стенде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 через закладные детали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Знакопеременные усилия малой амплитуды; крепление анкерами к плите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Приёмка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7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Конвейер приёмки пакетов от катодосдирочной машины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От передаточных ворот в зону приёмки,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Отправочная секция ≤3,2</w:t>
            </w:r>
          </w:p>
          <w:p>
            <w:r>
              <w:rPr>
                <w:sz w:val="14"/>
              </w:rPr>
              <w:t xml:space="preserve">Рабочая: С пакетами на трассе</w:t>
            </w:r>
          </w:p>
          <w:p>
            <w:r>
              <w:rPr>
                <w:color w:val="666666"/>
                <w:sz w:val="13"/>
              </w:rPr>
              <w:t xml:space="preserve">Источник: Решение БИ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 через закладные; отдельные фундаменты не требуются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Собственный вес трассы и пакетов — 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Привод цепной тихоходный; динамика покрывается коэффициентом надёжности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Отгрузка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8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Мостовой кран с траверсой (вариант погрузки в полувагоны)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Подкрановые пути над железнодорожным фронтом; крановый пролёт 22 м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Мост и тележка — по ТКП</w:t>
            </w:r>
          </w:p>
          <w:p>
            <w:r>
              <w:rPr>
                <w:sz w:val="14"/>
              </w:rPr>
              <w:t xml:space="preserve">Рабочая: Грузоподъёмность не менее 3,2 с учётом траверсы</w:t>
            </w:r>
          </w:p>
          <w:p>
            <w:r>
              <w:rPr>
                <w:color w:val="666666"/>
                <w:sz w:val="13"/>
              </w:rPr>
              <w:t xml:space="preserve">Источник: ИД ч.2 разд. 4.2.2; СП 20.13330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Подкрановые балки и колонны; для существующих путей — поверочный расчёт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Колёсные нагрузки — по ТКП крана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Вертикальные и горизонтальные крановые нагрузки; см. раздел 4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9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Железнодорожный путь погрузочного фронта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Внутренний путь; фронт 4–6 полувагонов (60–90 м), прямой горизонтальный участок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—</w:t>
            </w:r>
          </w:p>
          <w:p>
            <w:r>
              <w:rPr>
                <w:sz w:val="14"/>
              </w:rPr>
              <w:t xml:space="preserve">Рабочая: Брутто полувагона ≈90–92</w:t>
            </w:r>
          </w:p>
          <w:p>
            <w:r>
              <w:rPr>
                <w:color w:val="666666"/>
                <w:sz w:val="13"/>
              </w:rPr>
              <w:t xml:space="preserve">Источник: Расчёт КВАНТ; СП 37.13330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Верхнее строение пути на основании, изолированном от плиты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Осевые нагрузки 22,4–22,9 тс на ось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Транспортные динамические воздействия от прохода и маневровых перестановок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Упаковка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10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для защитной упаковки медных катодов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упаковки и маркировки,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ТЗ, раздел Лота №4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  <w:tr>
        <w:trPr>
          <w:cantSplit/>
        </w:trPr>
        <w:tc>
          <w:tcPr>
            <w:tcW w:w="9354" w:type="dxa"/>
            <w:gridSpan w:val="7"/>
            <w:shd w:val="clear" w:color="auto" w:fill="F3F3F3"/>
          </w:tcPr>
          <w:p>
            <w:r>
              <w:rPr>
                <w:b/>
                <w:sz w:val="16"/>
              </w:rPr>
              <w:t xml:space="preserve">Маркировка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5"/>
              </w:rPr>
              <w:t xml:space="preserve">11</w:t>
            </w:r>
          </w:p>
        </w:tc>
        <w:tc>
          <w:tcPr>
            <w:tcW w:w="1630" w:type="dxa"/>
          </w:tcPr>
          <w:p>
            <w:r>
              <w:rPr>
                <w:sz w:val="16"/>
              </w:rPr>
              <w:t xml:space="preserve">Оборудование для маркировки и подготовки к транспортировке пакетов</w:t>
            </w:r>
          </w:p>
          <w:p>
            <w:r>
              <w:rPr>
                <w:color w:val="666666"/>
                <w:sz w:val="13"/>
              </w:rPr>
              <w:t xml:space="preserve">кол-во: Комплект</w:t>
            </w:r>
          </w:p>
        </w:tc>
        <w:tc>
          <w:tcPr>
            <w:tcW w:w="1350" w:type="dxa"/>
          </w:tcPr>
          <w:p>
            <w:r>
              <w:rPr>
                <w:sz w:val="14"/>
              </w:rPr>
              <w:t xml:space="preserve">Зона упаковки и маркировки, 0,000</w:t>
            </w:r>
          </w:p>
        </w:tc>
        <w:tc>
          <w:tcPr>
            <w:tcW w:w="1554" w:type="dxa"/>
          </w:tcPr>
          <w:p>
            <w:r>
              <w:rPr>
                <w:sz w:val="14"/>
              </w:rPr>
              <w:t xml:space="preserve">Пустого: по ТКП изготовителя</w:t>
            </w:r>
          </w:p>
          <w:p>
            <w:r>
              <w:rPr>
                <w:sz w:val="14"/>
              </w:rPr>
              <w:t xml:space="preserve">Рабочая: по ТКП изготовителя</w:t>
            </w:r>
          </w:p>
          <w:p>
            <w:r>
              <w:rPr>
                <w:color w:val="666666"/>
                <w:sz w:val="13"/>
              </w:rPr>
              <w:t xml:space="preserve">Источник: ТЗ, раздел Лота №4</w:t>
            </w:r>
          </w:p>
        </w:tc>
        <w:tc>
          <w:tcPr>
            <w:tcW w:w="1300" w:type="dxa"/>
          </w:tcPr>
          <w:p>
            <w:r>
              <w:rPr>
                <w:sz w:val="14"/>
              </w:rPr>
              <w:t xml:space="preserve">Опоры на плиту пола</w:t>
            </w:r>
          </w:p>
        </w:tc>
        <w:tc>
          <w:tcPr>
            <w:tcW w:w="145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1550" w:type="dxa"/>
          </w:tcPr>
          <w:p>
            <w:r>
              <w:rPr>
                <w:sz w:val="14"/>
              </w:rPr>
              <w:t xml:space="preserve">Тихоходный привод; коэффициент динамичности 1,1–1,2 (предварительно)</w:t>
            </w:r>
          </w:p>
        </w:tc>
      </w:tr>
    </w:tbl>
    <w:p>
      <w:r>
        <w:rPr>
          <w:color w:val="555555"/>
          <w:sz w:val="17"/>
        </w:rPr>
        <w:t xml:space="preserve">Все значения ведомости предварительные и подлежат подтверждению по опросным листам и техническим предложениям изготовителей; коэффициенты, отмеченные как предварительные, приняты решением стадии БИ до получения паспортных данных.</w:t>
      </w:r>
    </w:p>
    <w:p>
      <w:pPr>
        <w:pStyle w:val="Heading2"/>
      </w:pPr>
      <w:r>
        <w:rPr>
          <w:b/>
          <w:sz w:val="24"/>
        </w:rPr>
        <w:t xml:space="preserve">3.1 Примечания к ведомости</w:t>
      </w:r>
    </w:p>
    <w:p>
      <w:r>
        <w:rPr>
          <w:sz w:val="20"/>
        </w:rPr>
        <w:t xml:space="preserve">1. Нагрузки отнесены к размещению в существующем корпусе; в базовом сценарии нового строительства полы и железнодорожный фронт проектируются заново, и значения ведомости служат заданием на новый корпус.</w:t>
      </w:r>
    </w:p>
    <w:p>
      <w:r>
        <w:rPr>
          <w:sz w:val="20"/>
        </w:rPr>
        <w:t xml:space="preserve">2. Локальные давления под опорными рёбрами профилированных листов пакета выше средних и проверяются по фактической опорной площади; данные опорной площади поступают от поставщика катодосдирочной машины.</w:t>
      </w:r>
    </w:p>
    <w:p>
      <w:r>
        <w:rPr>
          <w:sz w:val="20"/>
        </w:rPr>
        <w:t xml:space="preserve">3. Зона хранения фундаментов не требует: нагрузки стоп и колёсные нагрузки штабелёров воспринимает плита пола. Толщина и армирование плиты определяются совместно штабельной и сосредоточенной колёсной нагрузками.</w:t>
      </w:r>
    </w:p>
    <w:p>
      <w:r>
        <w:rPr>
          <w:sz w:val="20"/>
        </w:rPr>
        <w:t xml:space="preserve">4. Машин с неуравновешенными вращающимися массами в лоте нет; специальные виброфундаменты по СП 26.13330 не требуются. Предварительные динамические нагрузки с запасом относятся к весовым, крановым и транспортным воздействиям.</w:t>
      </w:r>
    </w:p>
    <w:p>
      <w:pPr>
        <w:pStyle w:val="Heading2"/>
      </w:pPr>
      <w:r>
        <w:rPr>
          <w:b/>
          <w:sz w:val="24"/>
        </w:rPr>
        <w:t xml:space="preserve">3.2 Прочие нагрузки и воздействия</w:t>
      </w:r>
    </w:p>
    <w:p>
      <w:r>
        <w:rPr>
          <w:sz w:val="20"/>
        </w:rPr>
        <w:t xml:space="preserve">В таблице приведены нагрузки, не отнесённые к отдельным единицам оборудования: нагрузки от трубопроводов и газоходов, крановые, полезные нагрузки перекрытий, монтажные и ремонтные воздействия.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400"/>
        <w:gridCol w:w="1750"/>
        <w:gridCol w:w="1900"/>
        <w:gridCol w:w="2200"/>
        <w:gridCol w:w="1950"/>
        <w:gridCol w:w="1154"/>
      </w:tblGrid>
      <w:tr>
        <w:trPr>
          <w:tblHeader/>
          <w:cantSplit/>
        </w:trPr>
        <w:tc>
          <w:tcPr>
            <w:tcW w:w="40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5"/>
              </w:rPr>
              <w:t xml:space="preserve">Воздействие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5"/>
              </w:rPr>
              <w:t xml:space="preserve">Место приложения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950" w:type="dxa"/>
            <w:shd w:val="clear" w:fill="EFEFEF"/>
          </w:tcPr>
          <w:p>
            <w:r>
              <w:rPr>
                <w:b/>
                <w:sz w:val="15"/>
              </w:rPr>
              <w:t xml:space="preserve">Учёт в расчёте</w:t>
            </w:r>
          </w:p>
        </w:tc>
        <w:tc>
          <w:tcPr>
            <w:tcW w:w="11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Полезная нагрузка зоны хранения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Плита пола зоны адресного хранения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50 кПа нормативная при двух ярусах (расчётная 58,9 кПа); при трёх ярусах 73,6 и 88,3 кПа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Нормативная нагрузка принимается по фактической схеме складирования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Расчёт КВАНТ; СП 20.13330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Сосредоточенная нагрузка от техники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Плита пола на маршрутах движения и в проездах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Колесо ≈3,5–4,5 тс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Определяет толщину и армирование плиты наравне со штабельной нагрузкой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БИ; СП 29.13330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Фундаменты весового оборудования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Весовые зоны железнодорожного и автомобильного фронтов, линия приёмки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Специальные фундаменты, защитные ограждения, пандусы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Фундаменты изолируются от плиты пола; зоны демаркируются и защищаются от наездов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Прил. №5 к ТЗ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Нагрузки на наружные элементы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Навес автомобильного фронта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Снеговая 3,2 кПа, ветровая 0,30 кПа, сейсмика 6 баллов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Учитываются для новых наружных конструкций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ТЗ п. 2.9.3–2.9.4</w:t>
            </w:r>
          </w:p>
        </w:tc>
      </w:tr>
      <w:tr>
        <w:trPr>
          <w:cantSplit/>
        </w:trPr>
        <w:tc>
          <w:tcPr>
            <w:tcW w:w="400" w:type="dxa"/>
          </w:tcPr>
          <w:p>
            <w:r>
              <w:rPr>
                <w:sz w:val="15"/>
              </w:rPr>
              <w:t xml:space="preserve">5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Монтажные нагрузки</w:t>
            </w:r>
          </w:p>
        </w:tc>
        <w:tc>
          <w:tcPr>
            <w:tcW w:w="1900" w:type="dxa"/>
          </w:tcPr>
          <w:p>
            <w:r>
              <w:rPr>
                <w:sz w:val="14"/>
              </w:rPr>
              <w:t xml:space="preserve">Ворота, проезды, монтажная зона крана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Штабелёр 8–11 т заезжает своим ходом (ворота ≥3,5 м); балки моста крана длиной ≈22 м</w:t>
            </w:r>
          </w:p>
        </w:tc>
        <w:tc>
          <w:tcPr>
            <w:tcW w:w="1950" w:type="dxa"/>
          </w:tcPr>
          <w:p>
            <w:r>
              <w:rPr>
                <w:sz w:val="14"/>
              </w:rPr>
              <w:t xml:space="preserve">Грузоподъёмные средства для штабелёра не требуются; кран монтируется до замыкания теплового контура</w:t>
            </w:r>
          </w:p>
        </w:tc>
        <w:tc>
          <w:tcPr>
            <w:tcW w:w="1154" w:type="dxa"/>
          </w:tcPr>
          <w:p>
            <w:r>
              <w:rPr>
                <w:color w:val="666666"/>
                <w:sz w:val="13"/>
              </w:rPr>
              <w:t xml:space="preserve">Оценка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 Сводка определяющих нагрузок лота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000"/>
        <w:gridCol w:w="4900"/>
        <w:gridCol w:w="1454"/>
      </w:tblGrid>
      <w:tr>
        <w:trPr>
          <w:tblHeader/>
          <w:cantSplit/>
        </w:trPr>
        <w:tc>
          <w:tcPr>
            <w:tcW w:w="3000" w:type="dxa"/>
            <w:shd w:val="clear" w:fill="EFEFEF"/>
          </w:tcPr>
          <w:p>
            <w:r>
              <w:rPr>
                <w:b/>
                <w:sz w:val="15"/>
              </w:rPr>
              <w:t xml:space="preserve">Показатель</w:t>
            </w:r>
          </w:p>
        </w:tc>
        <w:tc>
          <w:tcPr>
            <w:tcW w:w="4900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значение</w:t>
            </w:r>
          </w:p>
        </w:tc>
        <w:tc>
          <w:tcPr>
            <w:tcW w:w="1454" w:type="dxa"/>
            <w:shd w:val="clear" w:fill="EFEFEF"/>
          </w:tcPr>
          <w:p>
            <w:r>
              <w:rPr>
                <w:b/>
                <w:sz w:val="15"/>
              </w:rPr>
              <w:t xml:space="preserve">Источник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Нагрузка от стопы пакетов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24,5 кПа на ярус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Зона хранения, 2 яруса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49,1 кПа нормативная; 58,9 кПа расчётная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Зона хранения, 3 яруса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73,6 кПа нормативная; 88,3 кПа расчётная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Колёсная нагрузка штабелёра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≈3,5–4,5 тс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Оценка БИ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Осевая нагрузка гружёного полувагона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22,4–22,9 тс на ось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  <w:tr>
        <w:trPr>
          <w:cantSplit/>
        </w:trPr>
        <w:tc>
          <w:tcPr>
            <w:tcW w:w="3000" w:type="dxa"/>
          </w:tcPr>
          <w:p>
            <w:r>
              <w:rPr>
                <w:sz w:val="17"/>
              </w:rPr>
              <w:t xml:space="preserve">Брутто гружёного полувагона</w:t>
            </w:r>
          </w:p>
        </w:tc>
        <w:tc>
          <w:tcPr>
            <w:tcW w:w="4900" w:type="dxa"/>
          </w:tcPr>
          <w:p>
            <w:r>
              <w:rPr>
                <w:sz w:val="17"/>
              </w:rPr>
              <w:t xml:space="preserve">90–92 т</w:t>
            </w:r>
          </w:p>
        </w:tc>
        <w:tc>
          <w:tcPr>
            <w:tcW w:w="1454" w:type="dxa"/>
          </w:tcPr>
          <w:p>
            <w:r>
              <w:rPr>
                <w:sz w:val="17"/>
              </w:rPr>
              <w:t xml:space="preserve">Расчёт КВАНТ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4. Динамические нагрузки</w:t>
      </w:r>
    </w:p>
    <w:p>
      <w:r>
        <w:rPr>
          <w:sz w:val="20"/>
        </w:rPr>
        <w:t xml:space="preserve">Машин с неуравновешенными вращающимися массами в лоте нет, специальные виброфундаменты по СП 26.13330 не требуются. Предварительные динамические нагрузки относятся к весовым, крановым и транспортным воздействиям и приняты с запасом до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80"/>
        <w:gridCol w:w="1800"/>
        <w:gridCol w:w="1250"/>
        <w:gridCol w:w="1000"/>
        <w:gridCol w:w="2200"/>
        <w:gridCol w:w="2724"/>
      </w:tblGrid>
      <w:tr>
        <w:trPr>
          <w:tblHeader/>
          <w:cantSplit/>
        </w:trPr>
        <w:tc>
          <w:tcPr>
            <w:tcW w:w="380" w:type="dxa"/>
            <w:shd w:val="clear" w:fill="EFEFEF"/>
          </w:tcPr>
          <w:p>
            <w:r>
              <w:rPr>
                <w:b/>
                <w:sz w:val="15"/>
              </w:rPr>
              <w:t xml:space="preserve">№</w:t>
            </w:r>
          </w:p>
        </w:tc>
        <w:tc>
          <w:tcPr>
            <w:tcW w:w="1800" w:type="dxa"/>
            <w:shd w:val="clear" w:fill="EFEFEF"/>
          </w:tcPr>
          <w:p>
            <w:r>
              <w:rPr>
                <w:b/>
                <w:sz w:val="15"/>
              </w:rPr>
              <w:t xml:space="preserve">Машина, воздействие</w:t>
            </w:r>
          </w:p>
        </w:tc>
        <w:tc>
          <w:tcPr>
            <w:tcW w:w="1250" w:type="dxa"/>
            <w:shd w:val="clear" w:fill="EFEFEF"/>
          </w:tcPr>
          <w:p>
            <w:r>
              <w:rPr>
                <w:b/>
                <w:sz w:val="15"/>
              </w:rPr>
              <w:t xml:space="preserve">Частота возмущения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5"/>
              </w:rPr>
              <w:t xml:space="preserve">Масса, т</w:t>
            </w:r>
          </w:p>
        </w:tc>
        <w:tc>
          <w:tcPr>
            <w:tcW w:w="2200" w:type="dxa"/>
            <w:shd w:val="clear" w:fill="EFEFEF"/>
          </w:tcPr>
          <w:p>
            <w:r>
              <w:rPr>
                <w:b/>
                <w:sz w:val="15"/>
              </w:rPr>
              <w:t xml:space="preserve">Характер воздействия</w:t>
            </w:r>
          </w:p>
        </w:tc>
        <w:tc>
          <w:tcPr>
            <w:tcW w:w="2724" w:type="dxa"/>
            <w:shd w:val="clear" w:fill="EFEFEF"/>
          </w:tcPr>
          <w:p>
            <w:r>
              <w:rPr>
                <w:b/>
                <w:sz w:val="15"/>
              </w:rPr>
              <w:t xml:space="preserve">Предварительное требование к фундаменту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1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Железнодорожный подвижной состав на весовом участке</w:t>
            </w:r>
          </w:p>
          <w:p>
            <w:r>
              <w:rPr>
                <w:color w:val="666666"/>
                <w:sz w:val="13"/>
              </w:rPr>
              <w:t xml:space="preserve">4–6 полувагонов в подаче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Проход и торможение состава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Брутто вагона 90–92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Транспортная динамическая нагрузка на грузоприёмное устройство и фундамент весов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 динамичности не менее 1,2 к статическим осевым нагрузкам (предварительно, с запасом); окончательно — по требованиям изготовителя весов</w:t>
            </w:r>
          </w:p>
          <w:p>
            <w:r>
              <w:rPr>
                <w:color w:val="666666"/>
                <w:sz w:val="13"/>
              </w:rPr>
              <w:t xml:space="preserve">Источник: Расчёт БИ; решение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2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Мостовой кран с траверсой</w:t>
            </w:r>
          </w:p>
          <w:p>
            <w:r>
              <w:rPr>
                <w:color w:val="666666"/>
                <w:sz w:val="13"/>
              </w:rPr>
              <w:t xml:space="preserve">1 шт. (вариант полувагонов)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Циклы подъёма и торможения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По ТКП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Вертикальные динамические и горизонтальные тормозные силы на подкрановые конструкции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Коэффициенты по СП 20.13330 от колёсных нагрузок крана по ТКП</w:t>
            </w:r>
          </w:p>
          <w:p>
            <w:r>
              <w:rPr>
                <w:color w:val="666666"/>
                <w:sz w:val="13"/>
              </w:rPr>
              <w:t xml:space="preserve">Источник: СП 20.13330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3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Автопогрузчики-штабелёры</w:t>
            </w:r>
          </w:p>
          <w:p>
            <w:r>
              <w:rPr>
                <w:color w:val="666666"/>
                <w:sz w:val="13"/>
              </w:rPr>
              <w:t xml:space="preserve">По расчёту числа машин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Движение и торможение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8–11 полная масса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Сосредоточенные колёсные нагрузки; удары на кромках деформационных швов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Швы в колее — с жёстким заполнением; расчёт плиты на сосредоточенную нагрузку по СП 29.13330</w:t>
            </w:r>
          </w:p>
          <w:p>
            <w:r>
              <w:rPr>
                <w:color w:val="666666"/>
                <w:sz w:val="13"/>
              </w:rPr>
              <w:t xml:space="preserve">Источник: Оценка БИ</w:t>
            </w:r>
          </w:p>
        </w:tc>
      </w:tr>
      <w:tr>
        <w:trPr>
          <w:cantSplit/>
        </w:trPr>
        <w:tc>
          <w:tcPr>
            <w:tcW w:w="380" w:type="dxa"/>
          </w:tcPr>
          <w:p>
            <w:r>
              <w:rPr>
                <w:sz w:val="15"/>
              </w:rPr>
              <w:t xml:space="preserve">4</w:t>
            </w:r>
          </w:p>
        </w:tc>
        <w:tc>
          <w:tcPr>
            <w:tcW w:w="1800" w:type="dxa"/>
          </w:tcPr>
          <w:p>
            <w:r>
              <w:rPr>
                <w:sz w:val="15"/>
              </w:rPr>
              <w:t xml:space="preserve">Автомобильный транспорт на весах</w:t>
            </w:r>
          </w:p>
          <w:p>
            <w:r>
              <w:rPr>
                <w:color w:val="666666"/>
                <w:sz w:val="13"/>
              </w:rPr>
              <w:t xml:space="preserve">По графику отгрузки</w:t>
            </w:r>
          </w:p>
        </w:tc>
        <w:tc>
          <w:tcPr>
            <w:tcW w:w="1250" w:type="dxa"/>
          </w:tcPr>
          <w:p>
            <w:r>
              <w:rPr>
                <w:sz w:val="14"/>
              </w:rPr>
              <w:t xml:space="preserve">Наезд и торможение</w:t>
            </w:r>
          </w:p>
        </w:tc>
        <w:tc>
          <w:tcPr>
            <w:tcW w:w="1000" w:type="dxa"/>
          </w:tcPr>
          <w:p>
            <w:r>
              <w:rPr>
                <w:sz w:val="14"/>
              </w:rPr>
              <w:t xml:space="preserve">Брутто автопоезда по заданию сбыта</w:t>
            </w:r>
          </w:p>
        </w:tc>
        <w:tc>
          <w:tcPr>
            <w:tcW w:w="2200" w:type="dxa"/>
          </w:tcPr>
          <w:p>
            <w:r>
              <w:rPr>
                <w:sz w:val="14"/>
              </w:rPr>
              <w:t xml:space="preserve">Транспортная динамическая нагрузка на грузоприёмное устройство</w:t>
            </w:r>
          </w:p>
        </w:tc>
        <w:tc>
          <w:tcPr>
            <w:tcW w:w="2724" w:type="dxa"/>
          </w:tcPr>
          <w:p>
            <w:r>
              <w:rPr>
                <w:sz w:val="14"/>
              </w:rPr>
              <w:t xml:space="preserve">Пандусы и отбойники; коэффициенты по требованиям изготовителя весов</w:t>
            </w:r>
          </w:p>
          <w:p>
            <w:r>
              <w:rPr>
                <w:color w:val="666666"/>
                <w:sz w:val="13"/>
              </w:rPr>
              <w:t xml:space="preserve">Источник: Прил. №5 к ТЗ</w:t>
            </w:r>
          </w:p>
        </w:tc>
      </w:tr>
    </w:tbl>
    <w:p>
      <w:r>
        <w:rPr>
          <w:color w:val="555555"/>
          <w:sz w:val="17"/>
        </w:rPr>
        <w:t xml:space="preserve">Коэффициенты динамичности, массы фундаментных блоков и границы отстройки частот, приведённые выше, предварительные: они приняты решением стадии БИ до получения паспортных динамических данных изготовителей и подлежат подтверждению расчётом амплитуд после выбора машин.</w:t>
      </w:r>
    </w:p>
    <w:p>
      <w:pPr>
        <w:pStyle w:val="Heading1"/>
      </w:pPr>
      <w:r>
        <w:rPr>
          <w:b/>
          <w:sz w:val="28"/>
        </w:rPr>
        <w:t xml:space="preserve">5. Требования к строительной части</w:t>
      </w:r>
    </w:p>
    <w:p>
      <w:r>
        <w:rPr>
          <w:sz w:val="20"/>
        </w:rPr>
        <w:t xml:space="preserve">Требования настоящего раздела выдаются строительному разделу как задание. Они определяют конструктивные элементы, без которых приведённые нагрузки не могут быть восприняты либо оборудование не может быть смонтировано и обслужено.</w:t>
      </w:r>
    </w:p>
    <w:p>
      <w:r>
        <w:rPr>
          <w:b/>
          <w:sz w:val="21"/>
        </w:rPr>
        <w:t xml:space="preserve">Конструкция пола</w:t>
      </w:r>
    </w:p>
    <w:p>
      <w:r>
        <w:rPr>
          <w:sz w:val="20"/>
        </w:rPr>
        <w:t xml:space="preserve">Пол — монолитная железобетонная плита по грунту с упрочнённым верхним слоем; при размещении в существующем корпусе выполняется обследование существующего пола, и при дефиците несущей способности устраивается новая плита. Толщина и армирование определяются совместно штабельной нагрузкой (до 58,9 кПа расчётной при двух ярусах) и сосредоточенной колёсной нагрузкой 3,5–4,5 тс.</w:t>
      </w:r>
    </w:p>
    <w:p>
      <w:r>
        <w:rPr>
          <w:b/>
          <w:sz w:val="21"/>
        </w:rPr>
        <w:t xml:space="preserve">Ровность и уклоны</w:t>
      </w:r>
    </w:p>
    <w:p>
      <w:r>
        <w:rPr>
          <w:sz w:val="20"/>
        </w:rPr>
        <w:t xml:space="preserve">Просвет под двухметровой контрольной рейкой — не более 4 мм (базовая норма приёмки бетонных покрытий полов). Для систем автоматического позиционирования поставщики штабелёров задают более жёсткие допуски плоскостности и локальных уклонов: финальный класс ровности принимается по ТКП выбранной модели и вносится в задание на полы. В зоне адресного хранения полы безуклонные — уклон смещает стопы и сбивает позиционирование; уклоны для стока предусматриваются только в весовых и фронтовых зонах.</w:t>
      </w:r>
    </w:p>
    <w:p>
      <w:r>
        <w:rPr>
          <w:b/>
          <w:sz w:val="21"/>
        </w:rPr>
        <w:t xml:space="preserve">Деформационные швы</w:t>
      </w:r>
    </w:p>
    <w:p>
      <w:r>
        <w:rPr>
          <w:sz w:val="20"/>
        </w:rPr>
        <w:t xml:space="preserve">Швы размещаются вне колеи основных проездов; попадающие в колею выполняются с жёстким заполнением — это защищает кромки шва и оси штабелёров от ударной нагрузки колеса 3,5–4,5 тс.</w:t>
      </w:r>
    </w:p>
    <w:p>
      <w:r>
        <w:rPr>
          <w:b/>
          <w:sz w:val="21"/>
        </w:rPr>
        <w:t xml:space="preserve">Весовые зоны и приямки</w:t>
      </w:r>
    </w:p>
    <w:p>
      <w:r>
        <w:rPr>
          <w:sz w:val="20"/>
        </w:rPr>
        <w:t xml:space="preserve">Фундаменты платформенных, вагонных и автомобильных весов — специальные, демаркированные, с защитой от наездов, пандусами и ограждением. Вагонные весы имеют собственный фундамент на пути, изолированный от плиты пола. Приямки платформенных весов — с электрообогревом; основание отделяется разделительным швом от опор конвейера.</w:t>
      </w:r>
    </w:p>
    <w:p>
      <w:r>
        <w:rPr>
          <w:b/>
          <w:sz w:val="21"/>
        </w:rPr>
        <w:t xml:space="preserve">Разметка и проёмы</w:t>
      </w:r>
    </w:p>
    <w:p>
      <w:r>
        <w:rPr>
          <w:sz w:val="20"/>
        </w:rPr>
        <w:t xml:space="preserve">Разметка адресных линий — износостойкая, машиночитаемая, с контрастными полосами и метками для систем позиционирования. Габарит проёмов ворот — не менее 3,5 м (заезд штабелёра своим ходом); габарит приближения строений железнодорожного ввода — по ГОСТ 9238-2013. Антистатическое исполнение покрытия не требуется: груз негорюч, категория помещения ожидаемо Д, что подтверждается расчётом.</w:t>
      </w:r>
    </w:p>
    <w:p>
      <w:pPr>
        <w:pStyle w:val="Heading1"/>
      </w:pPr>
      <w:r>
        <w:rPr>
          <w:b/>
          <w:sz w:val="28"/>
        </w:rPr>
        <w:t xml:space="preserve">6. Характеристики, уточняемые по техническим предложениям изготовителей</w:t>
      </w:r>
    </w:p>
    <w:p>
      <w:r>
        <w:rPr>
          <w:sz w:val="20"/>
        </w:rPr>
        <w:t xml:space="preserve">Позиции ведомости с записью «по ТКП изготовителя» уточняются в следующем порядке: опросный лист с обязательным перечнем запрашиваемых характеристик — техническое предложение изготовителя — строительное задание с окончательными нагрузками на узлы опирания — поверочный расчёт конструкций и фундаментов. Перечень характеристик, включаемых в опросные листы, приведён ниже.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400"/>
        <w:gridCol w:w="6954"/>
      </w:tblGrid>
      <w:tr>
        <w:trPr>
          <w:tblHeader/>
          <w:cantSplit/>
        </w:trPr>
        <w:tc>
          <w:tcPr>
            <w:tcW w:w="2400" w:type="dxa"/>
            <w:shd w:val="clear" w:fill="EFEFEF"/>
          </w:tcPr>
          <w:p>
            <w:r>
              <w:rPr>
                <w:b/>
                <w:sz w:val="15"/>
              </w:rPr>
              <w:t xml:space="preserve">Группа данных</w:t>
            </w:r>
          </w:p>
        </w:tc>
        <w:tc>
          <w:tcPr>
            <w:tcW w:w="6954" w:type="dxa"/>
            <w:shd w:val="clear" w:fill="EFEFEF"/>
          </w:tcPr>
          <w:p>
            <w:r>
              <w:rPr>
                <w:b/>
                <w:sz w:val="15"/>
              </w:rPr>
              <w:t xml:space="preserve">Запрашиваемые характеристики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Массы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Масса пустого аппарата или машины, масса в рабочем состоянии, масса при гидроиспытании и при монтаже; масса наибольшей неразъёмной части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Геометрия опирания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и число опор, координаты опор относительно осей, тип опорного узла (лапы, юбка, рама), координаты центра тяжести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Разложение нагрузок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Распределение нагрузок по опорам с разложением по осям X, Y, Z для режимов: монтаж, гидроиспытание, нормальная работа, аварийная загрузка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Коэффициенты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Коэффициенты надёжности по нагрузке и коэффициенты динамичности, принятые изготовителем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Динамические данные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Частоты вращения и вынуждающих сил, неуравновешенные силы и моменты, класс балансировки роторов, допускаемые амплитуды колебаний опор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Требования к основанию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Требования к жёсткости основания, допускаемые осадки и их неравномерность, допускаемые уклоны и перекосы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Анкеровка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Схема фундаментных болтов и закладных деталей, усилия затяжки, требования к подливке</w:t>
            </w:r>
          </w:p>
        </w:tc>
      </w:tr>
      <w:tr>
        <w:trPr>
          <w:cantSplit/>
        </w:trPr>
        <w:tc>
          <w:tcPr>
            <w:tcW w:w="2400" w:type="dxa"/>
          </w:tcPr>
          <w:p>
            <w:r>
              <w:rPr>
                <w:sz w:val="17"/>
              </w:rPr>
              <w:t xml:space="preserve">Температурные условия</w:t>
            </w:r>
          </w:p>
        </w:tc>
        <w:tc>
          <w:tcPr>
            <w:tcW w:w="6954" w:type="dxa"/>
          </w:tcPr>
          <w:p>
            <w:r>
              <w:rPr>
                <w:sz w:val="17"/>
              </w:rPr>
              <w:t xml:space="preserve">Тепловые перемещения опорных узлов, требования к подвижным опорам и компенсаторам</w:t>
            </w:r>
          </w:p>
        </w:tc>
      </w:tr>
    </w:tbl>
    <w:p>
      <w:r>
        <w:rPr>
          <w:sz w:val="20"/>
        </w:rPr>
        <w:t xml:space="preserve">До получения этих данных нагрузки настоящего документа используются как предварительные: конструктивные решения принимаются по верхней границе диапазонов, а в планах резервируются место установки, монтажные проёмы и предельная масса оборудования.</w:t>
      </w:r>
    </w:p>
    <w:p>
      <w:pPr>
        <w:pStyle w:val="Heading1"/>
      </w:pPr>
      <w:r>
        <w:rPr>
          <w:b/>
          <w:sz w:val="28"/>
        </w:rPr>
        <w:t xml:space="preserve">7. Форма представления нагрузок на планах</w:t>
      </w:r>
    </w:p>
    <w:p>
      <w:r>
        <w:rPr>
          <w:sz w:val="20"/>
        </w:rPr>
        <w:t xml:space="preserve">На планах строительных конструкций и фундаментов для каждого узла опирания оборудования приводится таблица нагрузок следующего состава. Форма единая для всех лотов выпуска; значения заполняются по ведомости настоящего документа и уточняются по мере получения данных изготовителей.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1400"/>
        <w:gridCol w:w="7954"/>
      </w:tblGrid>
      <w:tr>
        <w:trPr>
          <w:tblHeader/>
          <w:cantSplit/>
        </w:trPr>
        <w:tc>
          <w:tcPr>
            <w:tcW w:w="1400" w:type="dxa"/>
            <w:shd w:val="clear" w:fill="EFEFEF"/>
          </w:tcPr>
          <w:p>
            <w:r>
              <w:rPr>
                <w:b/>
                <w:sz w:val="15"/>
              </w:rPr>
              <w:t xml:space="preserve">Графа</w:t>
            </w:r>
          </w:p>
        </w:tc>
        <w:tc>
          <w:tcPr>
            <w:tcW w:w="7954" w:type="dxa"/>
            <w:shd w:val="clear" w:fill="EFEFEF"/>
          </w:tcPr>
          <w:p>
            <w:r>
              <w:rPr>
                <w:b/>
                <w:sz w:val="15"/>
              </w:rPr>
              <w:t xml:space="preserve">Содержание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пост.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Постоянная вертикальная нагрузка — собственный вес оборудования, футеровки и опорных конструкций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длит.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Длительная вертикальная нагрузка от заполнения: материал, раствор, вода, пылевые отложения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N кратк.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Кратковременная нагрузка: обслуживание, ремонтные операции, монтажные и испытательные режимы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F дин.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Динамическая составляющая: амплитуда и частота вынуждающей силы, допускаемая амплитуда колебаний опоры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M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Момент от эксцентриситетов конусов, патрубков и присоединяемых трубопроводов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H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Горизонтальные усилия: тормозные, температурные, ветровые и сейсмические</w:t>
            </w:r>
          </w:p>
        </w:tc>
      </w:tr>
      <w:tr>
        <w:trPr>
          <w:cantSplit/>
        </w:trPr>
        <w:tc>
          <w:tcPr>
            <w:tcW w:w="1400" w:type="dxa"/>
          </w:tcPr>
          <w:p>
            <w:r>
              <w:rPr>
                <w:sz w:val="17"/>
              </w:rPr>
              <w:t xml:space="preserve">Привязка</w:t>
            </w:r>
          </w:p>
        </w:tc>
        <w:tc>
          <w:tcPr>
            <w:tcW w:w="7954" w:type="dxa"/>
          </w:tcPr>
          <w:p>
            <w:r>
              <w:rPr>
                <w:sz w:val="17"/>
              </w:rPr>
              <w:t xml:space="preserve">Привязка узла к осям и отметкам, схема фундаментных болтов и закладных деталей</w:t>
            </w:r>
          </w:p>
        </w:tc>
      </w:tr>
    </w:tbl>
    <w:p>
      <w:r>
        <w:rPr>
          <w:sz w:val="20"/>
        </w:rPr>
        <w:t xml:space="preserve">Дополнительно на планах указываются: привязка оборудования к разбивочным осям и отметкам, габариты опорных конструкций, зоны обслуживания и монтажные проёмы, границы конструктивно самостоятельных блоков и деформационных швов.</w:t>
      </w:r>
    </w:p>
    <w:p>
      <w:pPr>
        <w:pStyle w:val="Heading1"/>
      </w:pPr>
      <w:r>
        <w:rPr>
          <w:b/>
          <w:sz w:val="28"/>
        </w:rPr>
        <w:t xml:space="preserve">8. Открытые позиции</w:t>
      </w:r>
    </w:p>
    <w:p>
      <w:r>
        <w:rPr>
          <w:sz w:val="20"/>
        </w:rPr>
        <w:t xml:space="preserve">Ниже перечислено то, что на стадии Базового инжиниринга не может быть определено окончательно и требует данных Заказчика, изысканий, обследования либо технических предложений изготовителей. Каждая позиция закрывается до выдачи строительного задания.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Несущая способность существующего пола и подкрановых конструкций существующего корпуса электрорафинирования — обследование (первый этап БИ)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Фактические колёсные нагрузки и пятно контакта штабелёра — по ТКП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Опорная площадь профилированных листов пакета — данные поставщика катодосдирочной машины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Данные изготовителей весов (геометрия грузоприёмного устройства, жёсткость основания, динамические коэффициенты) — по ТКП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Наибольший предел взвешивания и длина автомобильных весов — по типам автопоездов (задание сбыта)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 грузоприёмных устройств вагонных и автомобильных весов, требования изготовителей к жёсткости основания — по техническим предложениям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Фактическая грузоподъёмность и колёсные нагрузки мостового крана варианта погрузки в полувагоны — по техническому предложению изготовителя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l4 ng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