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ОВЭ-75 · Расчётные приложения к пояснительной записке · Комплекс в целом</w:t>
      </w:r>
    </w:p>
    <w:p>
      <w:r>
        <w:rPr>
          <w:sz w:val="20"/>
        </w:rPr>
        <w:t xml:space="preserve">АО «Кольская ГМК», комплекс «обжиг – выщелачивание – электроэкстракция» производительностью 75 000 т катодной меди в год. К Техническому заданию на Базовый инжиниринг (ред. 4.1 от 25.08.2026); база сверки — исходные данные Заказчика, части 1 и 2.</w:t>
      </w:r>
    </w:p>
    <w:p>
      <w:pPr>
        <w:pStyle w:val="Heading1"/>
      </w:pPr>
      <w:r>
        <w:rPr>
          <w:b/>
          <w:sz w:val="28"/>
        </w:rPr>
        <w:t xml:space="preserve">1. Назначение и порядок расчётов</w:t>
      </w:r>
    </w:p>
    <w:p>
      <w:r>
        <w:rPr>
          <w:sz w:val="20"/>
        </w:rPr>
        <w:t xml:space="preserve">Независимый пересчёт КВАНТ: балансы и режимы восстановлены из первичных составов и физических констант и сверены с итогами ИД. Вердикты сверок: «сходится» — расхождение ≤1,5 %, «в допуске» — в границах допущений модели, «к уточнению» — требуется уточнение базиса у разработчика ИД. Расчёты выполнены по независимой модели КВАНТ; методика, допущения и исходные данные каждого расчёта открыты для проверки Заказчиком; методологические вопросы вынесены в предложения к документации.</w:t>
      </w:r>
    </w:p>
    <w:p>
      <w:r>
        <w:rPr>
          <w:sz w:val="20"/>
        </w:rPr>
        <w:t xml:space="preserve">Объём документа: расчётных блоков 21, сверок с исходными данными 40 (сходится 33, в допуске 2, к уточнению 5); вопросов к разработчику исходных данных (Гипроникель) — 11.</w:t>
      </w:r>
    </w:p>
    <w:p/>
    <w:p>
      <w:pPr>
        <w:pStyle w:val="Heading1"/>
      </w:pPr>
      <w:r>
        <w:rPr>
          <w:b/>
          <w:sz w:val="28"/>
        </w:rPr>
        <w:t xml:space="preserve">2. Вопросы к исходным данным по комплексу</w:t>
      </w:r>
    </w:p>
    <w:p>
      <w:r>
        <w:rPr>
          <w:b/>
          <w:sz w:val="21"/>
        </w:rPr>
        <w:t xml:space="preserve">2.1 Газовые потоки ИД — часовые максимумы (K=1,15): тракт и СКЦ проверять именно на них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Независимый пересчёт SO₂: номинал 1 880,5 нм³/ч, максимум 2 162,6 нм³/ч — совпадает с 12 129 × 17,83 % = 2 162,6 нм³/ч только при K = 1,15. Просить Гипроникель подтвердить базис часовых потоков табл. 23.</w:t>
      </w:r>
    </w:p>
    <w:p>
      <w:r>
        <w:rPr>
          <w:b/>
          <w:sz w:val="21"/>
        </w:rPr>
        <w:t xml:space="preserve">2.2 Кислород: норма расхода табл. 26 превышает балансовую потребность на ~16 %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у Гипроникеля базис нормы 37,121 млн нм³/год кислорода: коэффициент запаса к стехиометрии, принятый избыток дутья и обогащение 52 % O₂. Влияет на ТЭП (кислород — крупная статья затрат) и на выбор воздуходувки/кислородопровода.</w:t>
      </w:r>
    </w:p>
    <w:p>
      <w:r>
        <w:rPr>
          <w:b/>
          <w:sz w:val="21"/>
        </w:rPr>
        <w:t xml:space="preserve">2.3 Тепловой эффект обжига 2,378 ГДж/т — запросить расчёт (наша оценка 2,7–2,9)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От теплового эффекта зависят автогенный режим (930 °C без топлива), обогащение дутья 52 % O₂ и пар КУ. Наша термохимическая оценка по стандартным энтальпиям выше принятой в ИД на 15–20 %. Просить вещественный расчёт реакций (доли Cu₂S/Cu₅FeS₄/CuS, степень окисления Fe) — иначе гарантии по пару и топливу принимаем с оговоркой.</w:t>
      </w:r>
    </w:p>
    <w:p>
      <w:r>
        <w:rPr>
          <w:b/>
          <w:sz w:val="21"/>
        </w:rPr>
        <w:t xml:space="preserve">2.4 Электропотребление лота 1: потребители, не нормированные в ИД табл. 26, дают ≈ +56 % к учтённому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Воздуходувка дутья (≈216/409 кВт осн./вспом.), вакуум-насосы фильтрации и аспирация не нормированы в табл. 26 (ИД сам это оговаривает). Средняя нагрузка лота 1 ≈976 кВт против 625 кВт по учтённому. Кроме того, дымосос нормирован по установленной мощности (400 кВт) — базис нормирования ТЭП требует уточнения. Учесть в расчёте нагрузок и ТЭП.</w:t>
      </w:r>
    </w:p>
    <w:p>
      <w:r>
        <w:rPr>
          <w:b/>
          <w:sz w:val="21"/>
        </w:rPr>
        <w:t xml:space="preserve">2.5 Cu в медном купоросе 25,7 % &gt; теоретических 25,45 % для CuSO₄·5H₂O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базис: на какую форму/влажность дан состав 25,7 % Cu (ТЗ п. 4.2). Чистый пентагидрат содержит 25,45 % Cu; 25,7 % достижимо только при частичном обезвоживании. Это формулировка гарантийного показателя продукта — принципиально для приёмо-сдаточных испытаний лота 2.</w:t>
      </w:r>
    </w:p>
    <w:p>
      <w:r>
        <w:rPr>
          <w:b/>
          <w:sz w:val="21"/>
        </w:rPr>
        <w:t xml:space="preserve">2.6 η в ИД задан неявно (≈89 % из табл. 3.1/4.2) — запросить подтверждение</w:t>
      </w:r>
    </w:p>
    <w:p>
      <w:r>
        <w:rPr>
          <w:b/>
          <w:sz w:val="20"/>
        </w:rPr>
        <w:t xml:space="preserve">Статус вопроса: требует уточнения. </w:t>
      </w:r>
      <w:r>
        <w:rPr>
          <w:sz w:val="20"/>
        </w:rPr>
        <w:t xml:space="preserve">η в ИД задан неявно: из табл. 3.1/4.2 следует ≈89 % (49,49 кг/ч при 47,04 кА; U_в = 2,05 В при w = 1 942 кВт·ч/т). Запросить подтверждение принятого значения у Гипроникеля. Значение нужно зафиксировать как гарантийный параметр (влияет на удельный расход электроэнергии 1 942 кВт·ч/т).</w:t>
      </w:r>
    </w:p>
    <w:p>
      <w:r>
        <w:rPr>
          <w:b/>
          <w:sz w:val="21"/>
        </w:rPr>
        <w:t xml:space="preserve">2.7 Базис — новое строительство: подтверждён ТЗ v4.1 п.1.3; открыты статус Прил.№6/№7 и генплан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ТЗ v4.1 (25.08.2026, п.1.3) зафиксировало: «новое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(правило «зачёркнутое = исключено», 25.08) — базис един для всех лотов. Открыто: статус обмерных Прил.№6/№7 в перечне приложений и выдача «варианта размещения» (генплана) в составе ИД — без него посадка корпусов и внутриплощадочные сети в БИ не считаются. Наша компоновка нового корпуса — блок L3-NB; капитальные затраты и строительный цикл нового строительства учтены в CAPEX-оценке (блок X-NB).</w:t>
      </w:r>
    </w:p>
    <w:p>
      <w:r>
        <w:rPr>
          <w:b/>
          <w:sz w:val="21"/>
        </w:rPr>
        <w:t xml:space="preserve">2.8 Титульная производительность 75 000 т/год требует сырьевого баланса сверх ИД табл. 22 (расчётная обеспеченность ≈94 %)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Сырьё ИД табл. 22 после вычета потерь и уходов Cu со смешанным купоросом даёт ≈70,3 тыс. т к катоду; расчётная производительность ИД ч.2 — 69,25 тыс. т. Гарантийную формулировку строить двумя строками: «мощность оборудования — 75 000 т/год; годовой выпуск при сырье по ИД табл. 22 — 69,3 тыс. т ±1 %». Спросить Заказчика, планируется ли дозагрузка сырьём сверх ИД.</w:t>
      </w:r>
    </w:p>
    <w:p>
      <w:r>
        <w:rPr>
          <w:b/>
          <w:sz w:val="21"/>
        </w:rPr>
        <w:t xml:space="preserve">2.9 Кислотная точка росы газов ≈218/210 °C — заложить требования к стенкам тракта (≥240 °C) и продувке при остановках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SO₃ 0,72 % даёт высокую точку росы. В БИ включить: тепловую изоляцию с контролем холодных мостов, обогрев бункеров ЭФ, регламент продувки при остановках, материал узлов подсосов. Это гарантийный фактор межремонтного пробега газового тракта.</w:t>
      </w:r>
    </w:p>
    <w:p>
      <w:r>
        <w:rPr>
          <w:b/>
          <w:sz w:val="21"/>
        </w:rPr>
        <w:t xml:space="preserve">2.10 Габарит печи КС найден в ИД ч.1 (стр. 417): конус Ø6000→8390 (полный угол 21°), 583 сопла — модель и CFD-кейс обновлены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Ранее запрашивали табл. 24/25 — не требуется: геометрия есть в тексте разд. 2.3. Наша проверка с уклоном 0,18527 на сторону: слой ~2,2 м, напряжённость по зеркалу ≈8,9 т/(м²·сут) — выше диапазона мировой практики 4–8; запас площади пода — вопрос Гипроникелю (см. L1-BED). Для CFD остаётся запросить: живое сечение решётки (диаметр отверстий сопел) и отметку ввода шнекового забрасывателя.</w:t>
      </w:r>
    </w:p>
    <w:p>
      <w:r>
        <w:rPr>
          <w:b/>
          <w:sz w:val="21"/>
        </w:rPr>
        <w:t xml:space="preserve">2.11 Хлор в электролите 25–30 г/м³ — на пределе стойкости матриц 316L (кампания 6 лет под риском)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Практика EW: питтинг нержавеющих основ ускоряется при Cl⁻ выше ~25–30 мг/л. ИД задаёт фон 25–30 г/м³ и кампанию матриц 6 лет одновременно — гарантировать обе цифры сразу рискованно. Консервативно: кампания 6 лет гарантируется при Cl⁻ ≤25 г/м³ и регламенте промывки кромок; при 30 г/м³ — кампания «по фактическому состоянию». Зафиксировать в гарантийной рамке.</w:t>
      </w:r>
    </w:p>
    <w:p/>
    <w:p>
      <w:pPr>
        <w:pStyle w:val="Heading1"/>
      </w:pPr>
      <w:r>
        <w:rPr>
          <w:b/>
          <w:sz w:val="28"/>
        </w:rPr>
        <w:t xml:space="preserve">3. Гарантийные показатели комплекса: предлагаемые значения</w:t>
      </w:r>
    </w:p>
    <w:p>
      <w:r>
        <w:rPr>
          <w:sz w:val="20"/>
        </w:rPr>
        <w:t xml:space="preserve">Гарантийные значения приняты с запасом к расчётным и действуют при подтверждённых характеристиках сырья и данных изготовителей. Расчётные значения приведены справочно; окончательные гарантии фиксируются по итогам согласования исходных данных и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3200"/>
        <w:gridCol w:w="32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9"/>
              </w:rPr>
              <w:t xml:space="preserve">Расчёт / исходные данные</w:t>
            </w:r>
          </w:p>
        </w:tc>
        <w:tc>
          <w:tcPr>
            <w:tcW w:w="3254" w:type="dxa"/>
            <w:shd w:val="clear" w:fill="EFEFEF"/>
          </w:tcPr>
          <w:p>
            <w:r>
              <w:rPr>
                <w:b/>
                <w:sz w:val="19"/>
              </w:rPr>
              <w:t xml:space="preserve">Предлагаемое гарантийное значение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Производительность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мощность 75 000 т/год (280 А/м² → 76,7); сырьё ИД → 69,25 тыс. т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мощность оборудования 75 000 т/год; годовой выпуск при сырье ИД табл. 22 — 69 300 т ±1 %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Качество катодов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М00к, примеси с запасом (S 0,0006 %, Pb 0,00004 %)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М00к по ГОСТ 859-2014 ПРИ порогах примесей богатого раствора по ИД табл. 1.1/5.8 (условная гарантия на сырьё)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Удельный расход электроэнергии ЭЭ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1 942 кВт·ч/т (расчёт при η=89 %)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≤2 050 кВт·ч/т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Выход по току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≈89 % (из ИД табл. 3.1/4.2, задан неявно)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≥88 % (проектное значение по ИД ≈89 %; повышение до ≥90 % — только после письменного подтверждения η Гипроникелем)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Сера в огарке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0,051 % (расчёт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≤0,10 %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Запылённость газа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0,1 г/нм³ при η_ЭФ 99,69 %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 г/нм³ при η_ЭФ 99,69 % по vendor data (паспортный порог изготовителя ≥96 % сам по себе даёт лишь 0,8–1,4 г/нм³ — до закрытия D-09 значение 0,1 обусловлено расчётной η)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SO₂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15,59 / 9,49 % (осн./вспом.)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диапазон 9–17 % по режимам (верх накрывает P90 = 16,6 % собственного Монте-Карло; драйвер — подсосы тракта); стабильность ±1,5 % абс. за 15 мин — контуром АСУ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Пар 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4,10 / 6,48 т/ч (энтальпийно сходится)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справочно 4,1/6,5 т/ч; жёсткая гарантия ≥3,6 т/ч (осн.) — только после подтверждения теплового расчёта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Мазут М-100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468 / 2 844 т/год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≤520 (осн.) / ≤3 100 (вспом.) т/год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Кислород технический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520,9 нм³/т (норма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≤560 нм³/т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Температуры газового тракта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точка росы 218/210 °C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газ на СКЦ 387 ±15 °C; стенки тракта ≥240 °C; продувка при остановках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Медный купорос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25,7 % Cu (выше стехиометрии пентагидрата)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Cu ≥25,0 % (сухой), влажность ≤6 %, крупность ≤2 мм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Кампания матриц / анодов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6 лет / 5–7 лет при Cl 25–30 г/м³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матрицы 6 лет при Cl⁻ ≤25 г/м³ и регламенте промывки; аноды 5 лет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КИО ванн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98 % (чистка ≤1 раз/год)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≥97 %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Электропотребление лота 1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7,7 млн кВт·ч/год с досчётом (ИД: 4,95)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закладывать в ТЭП 7,7 млн кВт·ч/год; в ТУ — среднюю 1,0 МВт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АСУТП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1,7–2,4 тыс. сигналов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запас модулей в/в ≥30 %, резерв контроллеров ≥20 %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4. Оценка неопределённости показателей комплекса (метод Монте-Карло, 20 000 прогонов)</w:t>
      </w:r>
    </w:p>
    <w:p>
      <w:r>
        <w:rPr>
          <w:sz w:val="20"/>
        </w:rPr>
        <w:t xml:space="preserve">Доверительные интервалы P10–P90 и рейтинг чувствительности (Спирмен) по 20 000 прогонам модели. Колонка «что уточнять» — какая единица данных схлопывает интервал.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70"/>
        <w:gridCol w:w="1170"/>
        <w:gridCol w:w="1170"/>
        <w:gridCol w:w="1070"/>
        <w:gridCol w:w="2174"/>
      </w:tblGrid>
      <w:tr>
        <w:trPr>
          <w:tblHeader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P10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P50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P90</w:t>
            </w:r>
          </w:p>
        </w:tc>
        <w:tc>
          <w:tcPr>
            <w:tcW w:w="1070" w:type="dxa"/>
            <w:shd w:val="clear" w:fill="EFEFEF"/>
          </w:tcPr>
          <w:p>
            <w:r>
              <w:rPr>
                <w:b/>
                <w:sz w:val="19"/>
              </w:rPr>
              <w:t xml:space="preserve">Размах</w:t>
            </w:r>
          </w:p>
        </w:tc>
        <w:tc>
          <w:tcPr>
            <w:tcW w:w="2174" w:type="dxa"/>
            <w:shd w:val="clear" w:fill="EFEFEF"/>
          </w:tcPr>
          <w:p>
            <w:r>
              <w:rPr>
                <w:b/>
                <w:sz w:val="19"/>
              </w:rPr>
              <w:t xml:space="preserve">Что уточнять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Катодная медь, т/год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68 717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70 178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71 669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4,2 %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паспорта/планы поставок сырья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Пар КУ, т/ч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4,13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4,55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расчёт теплового эффекта Гипроникеля (п.3 раздела 1)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SO₂ на СКЦ (номинал), %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14,7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15,6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16,6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11,8 %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стабильность шихтовки и подсосов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Электрика лота 1, млн кВт·ч/год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7,05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7,79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8,55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опросные листы воздуходувки/вакуума (п.4 раздела 1)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5. Расчётные блоки и сверки с исходными данными</w:t>
      </w:r>
    </w:p>
    <w:p>
      <w:pPr>
        <w:pStyle w:val="Heading2"/>
      </w:pPr>
      <w:r>
        <w:rPr>
          <w:b/>
          <w:sz w:val="26"/>
        </w:rPr>
        <w:t xml:space="preserve">5.1 Баланс металлов: приход из составов сырья. Лот №1 «Цех обжига». Блок L1-MET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Концентрат ОРФ на шихту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73 492 т/год; Cu 67,10 / Ni 4,20 / Co 0,22 / Fe 5,24 / S 23,24 %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табл. 22 стр.1, табл. 23 п.62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Кек NNH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24 218,5 т/год; Cu 55,00 / Ni 3,00 / Co 0,10 / Fe 3,00 / S 20,00 %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табл. 22 стр.2, табл. 23 п.71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Цементная медь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9 181,9 т/год; Cu 94,00 / Ni 2,50 / Co 0,06 / Fe 0,10 / S 0,14 %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табл. 22 стр.3, табл. 23 п.80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Масса каждого элемента:  </w:t>
      </w:r>
      <w:r>
        <w:rPr>
          <w:sz w:val="20"/>
        </w:rPr>
        <w:t xml:space="preserve">m_эл = Σ (масса компонента × содержание, %)</w:t>
      </w:r>
    </w:p>
    <w:p>
      <w:r>
        <w:rPr>
          <w:b/>
          <w:sz w:val="20"/>
        </w:rPr>
        <w:t xml:space="preserve">Сухая шихта:  </w:t>
      </w:r>
      <w:r>
        <w:rPr>
          <w:sz w:val="20"/>
        </w:rPr>
        <w:t xml:space="preserve">73 492 + 24 218,5 + 9 181,9 = 106 892,4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Медь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Никель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Кобальт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Железо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Сухая шихта,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Составы и массы трёх компонентов сырья взаимно согласованы с итогами таблицы 22 ИД: невязка по всем пяти элементам ≤0,01 %. Приходную часть баланса подтверждаем.</w:t>
      </w:r>
    </w:p>
    <w:p/>
    <w:p>
      <w:pPr>
        <w:pStyle w:val="Heading2"/>
      </w:pPr>
      <w:r>
        <w:rPr>
          <w:b/>
          <w:sz w:val="26"/>
        </w:rPr>
        <w:t xml:space="preserve">5.2 Баланс серы: распределение огарок / пыль / газ. Лот №1 «Цех обжига». Блок L1-S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в огарке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81 896 т × 0,051 %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 стр.4, табл. 23 п.243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в пылях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КУ 2,15 % · циклон 2,27 % · ЭФ и унос 3,44 %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 стр.5–9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Потери 502 т/год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принята средняя сера шихты 20,52 %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 стр.12; допущение КВАНТ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Сера в огарок:  </w:t>
      </w:r>
      <w:r>
        <w:rPr>
          <w:sz w:val="20"/>
        </w:rPr>
        <w:t xml:space="preserve">81 896 × 0,00051 = 41,8 т</w:t>
      </w:r>
    </w:p>
    <w:p>
      <w:r>
        <w:rPr>
          <w:b/>
          <w:sz w:val="20"/>
        </w:rPr>
        <w:t xml:space="preserve">Сера в пыли:  </w:t>
      </w:r>
      <w:r>
        <w:rPr>
          <w:sz w:val="20"/>
        </w:rPr>
        <w:t xml:space="preserve">9 081×2,15 % + 8 165×2,27 % + 2 930×3,44 % = 481,4 т</w:t>
      </w:r>
    </w:p>
    <w:p>
      <w:r>
        <w:rPr>
          <w:b/>
          <w:sz w:val="20"/>
        </w:rPr>
        <w:t xml:space="preserve">Сера в газ (остатком):  </w:t>
      </w:r>
      <w:r>
        <w:rPr>
          <w:sz w:val="20"/>
        </w:rPr>
        <w:t xml:space="preserve">21 936,1 − 41,8 − 481,4 − 103,0 = 21 309,9 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огарке,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41,8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41,6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пылях,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481,4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484,0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-0,54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газ,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21 310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21 307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Извлечение серы в газ,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+0,02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Баланс серы замыкается остатком в газ с невязкой 0,01 % — производительность СКЦ (21,3 тыс. т S/год) подтверждена независимо.</w:t>
      </w:r>
    </w:p>
    <w:p/>
    <w:p>
      <w:pPr>
        <w:pStyle w:val="Heading2"/>
      </w:pPr>
      <w:r>
        <w:rPr>
          <w:b/>
          <w:sz w:val="26"/>
        </w:rPr>
        <w:t xml:space="preserve">5.3 Газовый тракт: объём SO₂ и коэффициент максимума 1,15. Лот №1 «Цех обжига». Блок L1-GAS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в газ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21 309,9 т/год (наш баланс L1-S)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Фонд времени печи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7 920 ч/год (330 сут)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Прил. В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Внутрипечной газ (макс.)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12 129 нм³/ч, SO₂ 17,83 %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(баланс обжига)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SO₂ номинал:  </w:t>
      </w:r>
      <w:r>
        <w:rPr>
          <w:sz w:val="20"/>
        </w:rPr>
        <w:t xml:space="preserve">21 309,9·10³ / 32,07 × 22,414 / 7 920 = 1 880,5 нм³/ч</w:t>
      </w:r>
    </w:p>
    <w:p>
      <w:r>
        <w:rPr>
          <w:b/>
          <w:sz w:val="20"/>
        </w:rPr>
        <w:t xml:space="preserve">SO₂ максимум (K = 1,15):  </w:t>
      </w:r>
      <w:r>
        <w:rPr>
          <w:sz w:val="20"/>
        </w:rPr>
        <w:t xml:space="preserve">1 880,5 × 1,15 = 2 162,6 нм³/ч</w:t>
      </w:r>
    </w:p>
    <w:p>
      <w:r>
        <w:rPr>
          <w:b/>
          <w:sz w:val="20"/>
        </w:rPr>
        <w:t xml:space="preserve">SO₂ по ИД из состава газа:  </w:t>
      </w:r>
      <w:r>
        <w:rPr>
          <w:sz w:val="20"/>
        </w:rPr>
        <w:t xml:space="preserve">12 129 × 17,83 % = 2 162,6 нм³/ч</w:t>
      </w:r>
    </w:p>
    <w:p>
      <w:r>
        <w:rPr>
          <w:b/>
          <w:sz w:val="20"/>
        </w:rPr>
        <w:t xml:space="preserve">SO₂ на СКЦ = SO₂ печи − конверсия в SO₃:  </w:t>
      </w:r>
      <w:r>
        <w:rPr>
          <w:sz w:val="20"/>
        </w:rPr>
        <w:t xml:space="preserve">2 162,6 − 13 262×0,718 % = 2 067,4 нм³/ч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SO₂ в печном газе (макс.), нм³/ч — сходится ТОЛЬКО в логике «часовые потоки = номинал × 1,15»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SO₂ на СКЦ с учётом конверсии в SO₃, нм³/ч — разница SO₂ печи и СКЦ ровно равна объёму SO₃ — конверсия в тракте ≈4,4 % самосогласована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Объём SO₂ по нашему балансу совпадает с ИД (невязка 0,05 %) при условии, что ВСЕ часовые газовые потоки таблицы 23 — максимальные (K = 1,15). Это подтверждает методическое примечание к материалам Базового инжиниринга и должно быть зафиксировано для выбора газоходов, дымососов и согласования с СКЦ.</w:t>
      </w:r>
    </w:p>
    <w:p/>
    <w:p>
      <w:pPr>
        <w:pStyle w:val="Heading2"/>
      </w:pPr>
      <w:r>
        <w:rPr>
          <w:b/>
          <w:sz w:val="26"/>
        </w:rPr>
        <w:t xml:space="preserve">5.4 Кислородный баланс печи КС. Лот №1 «Цех обжига». Блок L1-O2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Кислород технический 96 %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37,121 млн нм³/год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Технологический воздух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52,708 млн нм³/год (O₂ 20,95 %)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Твёрдые продукты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огарок 81 896 + пыль 20 175 + потери 502 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Газ на СКЦ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13 262 нм³/ч (макс.), O₂ 16,33 %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п.400–401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O₂ на SO₂ (1:1 по молям):  </w:t>
      </w:r>
      <w:r>
        <w:rPr>
          <w:sz w:val="20"/>
        </w:rPr>
        <w:t xml:space="preserve">21 309,9·10³/32,07 × 22,414 = 14,89 млн нм³</w:t>
      </w:r>
    </w:p>
    <w:p>
      <w:r>
        <w:rPr>
          <w:b/>
          <w:sz w:val="20"/>
        </w:rPr>
        <w:t xml:space="preserve">O₂, связанный в твёрдых (прирост массы):  </w:t>
      </w:r>
      <w:r>
        <w:rPr>
          <w:sz w:val="20"/>
        </w:rPr>
        <w:t xml:space="preserve">(102 573,0 − 85 580,7) = 16 992,3 т = 11,90 млн нм³</w:t>
      </w:r>
    </w:p>
    <w:p>
      <w:r>
        <w:rPr>
          <w:b/>
          <w:sz w:val="20"/>
        </w:rPr>
        <w:t xml:space="preserve">Потребность:  </w:t>
      </w:r>
      <w:r>
        <w:rPr>
          <w:sz w:val="20"/>
        </w:rPr>
        <w:t xml:space="preserve">14,89 + 11,90 = 26,80 млн нм³</w:t>
      </w:r>
    </w:p>
    <w:p>
      <w:r>
        <w:rPr>
          <w:b/>
          <w:sz w:val="20"/>
        </w:rPr>
        <w:t xml:space="preserve">Подача:  </w:t>
      </w:r>
      <w:r>
        <w:rPr>
          <w:sz w:val="20"/>
        </w:rPr>
        <w:t xml:space="preserve">37,121×0,96 + 52,708×0,2095 = 46,68 млн нм³</w:t>
      </w:r>
    </w:p>
    <w:p>
      <w:r>
        <w:rPr>
          <w:b/>
          <w:sz w:val="20"/>
        </w:rPr>
        <w:t xml:space="preserve">Избыток (в газ):  </w:t>
      </w:r>
      <w:r>
        <w:rPr>
          <w:sz w:val="20"/>
        </w:rPr>
        <w:t xml:space="preserve">46,68 − 26,80 = 19,88 млн нм³</w:t>
      </w:r>
    </w:p>
    <w:p>
      <w:r>
        <w:rPr>
          <w:b/>
          <w:sz w:val="20"/>
        </w:rPr>
        <w:t xml:space="preserve">O₂ в газе на СКЦ по ИД (номинал года):  </w:t>
      </w:r>
      <w:r>
        <w:rPr>
          <w:sz w:val="20"/>
        </w:rPr>
        <w:t xml:space="preserve">91,3 млн нм³ × 16,33 % = 14,91 млн нм³</w:t>
      </w:r>
    </w:p>
    <w:p>
      <w:r>
        <w:rPr>
          <w:b/>
          <w:sz w:val="20"/>
        </w:rPr>
        <w:t xml:space="preserve">O₂ воздуха подсосов (вычитается: поступает в тракт, а не с дутьём печи):  </w:t>
      </w:r>
      <w:r>
        <w:rPr>
          <w:sz w:val="20"/>
        </w:rPr>
        <w:t xml:space="preserve">(13 262 − 12 129)/1,15 × 7 920 × 0,2095 = 1,63 млн нм³</w:t>
      </w:r>
    </w:p>
    <w:p>
      <w:r>
        <w:rPr>
          <w:b/>
          <w:sz w:val="20"/>
        </w:rPr>
        <w:t xml:space="preserve">Балансовая потребность за вычетом O₂ подсосов:  </w:t>
      </w:r>
      <w:r>
        <w:rPr>
          <w:sz w:val="20"/>
        </w:rPr>
        <w:t xml:space="preserve">26,80 + 14,91 − 1,63 = 40,08 млн нм³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Прирост массы твёрдых (усвоенный O₂),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15,9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16,0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-0,65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Подача O₂ vs сведение баланса (SO₂ + твёрдые + газ, за вычетом O₂ подсосов), млн нм³/год — норма подачи превышает балансовую потребность ~ на 16 %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46,7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40,1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+16,47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Связанный в твёрдых кислород (15,9 % прироста массы) подтверждает примечание ИД. Однако сведение всего кислородного баланса даёт: потребность (SO₂ + оксиды + кислород в газе на СКЦ, за вычетом O₂ подсосов ≈1,63 млн нм³) ≈ 40,1 млн нм³/год против подачи 46,7 млн нм³ по нормам табл. 26 — запас ~16 %. Вероятно, табл. 26 — норма расхода с запасом, а не баланс.</w:t>
      </w:r>
    </w:p>
    <w:p/>
    <w:p>
      <w:pPr>
        <w:pStyle w:val="Heading2"/>
      </w:pPr>
      <w:r>
        <w:rPr>
          <w:b/>
          <w:sz w:val="26"/>
        </w:rPr>
        <w:t xml:space="preserve">5.5 Тепловой эффект обжига: независимая оценка по энтальпиям. Лот №1 «Цех обжига». Блок L1-HEAT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сульфидная концентрата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17 079,5 т (халькозин-борнит, модель Cu₂S)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п.62; вещественный состав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сульфидная кека NNH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3 904,0 т (ковеллин CuS); сульфатная 3,88 % не горит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п.71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Металлическая медь цементной меди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7 125,2 т (77,6 %) → CuO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п.80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ΔH реакций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Cu₂S+2O₂→2CuO+SO₂: −531,9; CuS+1,5O₂→CuO+SO₂: −401,0; Cu+½O₂→CuO: −157,3 кДж/моль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стандартные энтальпии образования (справочные)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Тепло сульфидов:  </w:t>
      </w:r>
      <w:r>
        <w:rPr>
          <w:sz w:val="20"/>
        </w:rPr>
        <w:t xml:space="preserve">332 089,8 ГДж/год</w:t>
      </w:r>
    </w:p>
    <w:p>
      <w:r>
        <w:rPr>
          <w:b/>
          <w:sz w:val="20"/>
        </w:rPr>
        <w:t xml:space="preserve">Тепло окисления металлической меди:  </w:t>
      </w:r>
      <w:r>
        <w:rPr>
          <w:sz w:val="20"/>
        </w:rPr>
        <w:t xml:space="preserve">17 637,4 ГДж/год</w:t>
      </w:r>
    </w:p>
    <w:p>
      <w:r>
        <w:rPr>
          <w:b/>
          <w:sz w:val="20"/>
        </w:rPr>
        <w:t xml:space="preserve">Удельный эффект на влажную шихту:  </w:t>
      </w:r>
      <w:r>
        <w:rPr>
          <w:sz w:val="20"/>
        </w:rPr>
        <w:t xml:space="preserve">349 727,2 / 122 429,0 = 2,86 ГДж/т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Удельный тепловой эффект, ГДж/т шихты — наша оценка по чистым фазам выше значения ИД на ~15–20 %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2,86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2,38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+20,11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Наша верхняя оценка (чистые фазы, без эндотермики диссоциации сульфатов кека и огарка на запуск) даёт 2,86 ГДж/т против 2,378 ГДж/т в ИД. Разница объяснима вещественным составом (борнит/дигенит вместо чистого Cu₂S, частично окисленное железо), но именно тепловой эффект задаёт автогенность печи и паропроизводительность КУ — запросить расчёт Гипроникеля.</w:t>
      </w:r>
    </w:p>
    <w:p/>
    <w:p>
      <w:pPr>
        <w:pStyle w:val="Heading2"/>
      </w:pPr>
      <w:r>
        <w:rPr>
          <w:b/>
          <w:sz w:val="26"/>
        </w:rPr>
        <w:t xml:space="preserve">5.6 Пар котла-утилизатора: энтальпийная сверка. Лот №1 «Цех обжига». Блок L1-STEAM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Тепловосприятие КУ (осн.)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11,30 ГДж/ч (газ 882,8 → 400 °C)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п.278–281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Пар 1,9 МПа, 375 °C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h ≈ 3 190 кДж/кг; питательная вода 105 °C: h ≈ 440 кДж/кг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таблицы водяного пара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Пар из тепловосприятия:  </w:t>
      </w:r>
      <w:r>
        <w:rPr>
          <w:sz w:val="20"/>
        </w:rPr>
        <w:t xml:space="preserve">11 300 МДж/ч ÷ (3 190 − 440) = 4,109 т/ч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Паропроизводительность (осн.), т/ч — невязка покрывает продувку 0,205 м³/ч и потери изоляции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4,11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4,10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+0,17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Энтальпийный пересчёт подтверждает 4,1 т/ч перегретого пара в основном варианте; выбор котла по вспомогательному (6,5 т/ч, до 7 т/ч) корректен.</w:t>
      </w:r>
    </w:p>
    <w:p/>
    <w:p>
      <w:pPr>
        <w:pStyle w:val="Heading2"/>
      </w:pPr>
      <w:r>
        <w:rPr>
          <w:b/>
          <w:sz w:val="26"/>
        </w:rPr>
        <w:t xml:space="preserve">5.7 Электрика лота 1: досчёт потребителей, не нормированных в ИД. Лот №1 «Цех обжига». Блок L1-EL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Учтено в ИД табл. 26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≈4,95 млн кВт·ч/год (средняя ≈625 кВт: 0,4 кВ 192 + дымосос 400 + ЭФ 32)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26; сводка по Базовому инжинирингу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Воздуходувка (НЕ нормирована)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52,708 / 99,887 млн нм³/год, 0,09–0,12 МПа изб.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 (объёмы дутья); прямое указание ИД «досчитываются на стадии БИ»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Вакуум-насосы и аспирация (НЕ нормированы)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фильтрация 2×20 м²; аспирация 25–40 тыс.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 по аналогам (Class 5)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Воздуходувка, адиабата+КПД (осн.):  </w:t>
      </w:r>
      <w:r>
        <w:rPr>
          <w:sz w:val="20"/>
        </w:rPr>
        <w:t xml:space="preserve">π=2,04; P = 216 кВт вал (вспом. 409 кВт)</w:t>
      </w:r>
    </w:p>
    <w:p>
      <w:r>
        <w:rPr>
          <w:b/>
          <w:sz w:val="20"/>
        </w:rPr>
        <w:t xml:space="preserve">Вакуум-станция:  </w:t>
      </w:r>
      <w:r>
        <w:rPr>
          <w:sz w:val="20"/>
        </w:rPr>
        <w:t xml:space="preserve">60–90 кВт</w:t>
      </w:r>
    </w:p>
    <w:p>
      <w:r>
        <w:rPr>
          <w:b/>
          <w:sz w:val="20"/>
        </w:rPr>
        <w:t xml:space="preserve">Аспирация:  </w:t>
      </w:r>
      <w:r>
        <w:rPr>
          <w:sz w:val="20"/>
        </w:rPr>
        <w:t xml:space="preserve">45–75 кВт</w:t>
      </w:r>
    </w:p>
    <w:p>
      <w:r>
        <w:rPr>
          <w:b/>
          <w:sz w:val="20"/>
        </w:rPr>
        <w:t xml:space="preserve">Итого средняя нагрузка лота 1:  </w:t>
      </w:r>
      <w:r>
        <w:rPr>
          <w:sz w:val="20"/>
        </w:rPr>
        <w:t xml:space="preserve">625 + 351 ≈ 976 кВт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Дымосос: потребляемая (вспом., Δp 10 кПа) vs нормированная, кВт — ИД нормирует по УСТАНОВЛЕННОЙ мощности ДН-15БНЖ; наша оценка потребляемой 150–250 кВт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177,1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400,0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-55,74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Неучтённые в табл. 26 потребители (воздуходувка ≈216 кВт, вакуум, аспирация) добавляют ≈351 кВт средней нагрузки — годовое электропотребление лота 1 растёт с 4,95 до ≈7,7 млн кВт·ч (976 кВт × 7 920 ч; +56 %). Для ТУ и ТЭП это надо заложить сразу; установленная мощность лота 1 с резервом — ориентировочно 1,6–1,9 МВт.</w:t>
      </w:r>
    </w:p>
    <w:p/>
    <w:p>
      <w:pPr>
        <w:pStyle w:val="Heading2"/>
      </w:pPr>
      <w:r>
        <w:rPr>
          <w:b/>
          <w:sz w:val="26"/>
        </w:rPr>
        <w:t xml:space="preserve">5.8 Медь купоросного передела и стехиометрия пентагидрата. Лот №2 «Участок получения купороса». Блок L2-CU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Фильтрат на кристаллизацию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42,2 тыс. м³/год, Cu 102,9 кг/м³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Медный купорос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14 139 т/год, Cu 25,7 % (сухой)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4.2; ИД ч.2 табл. 3.1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Маточник на смешанный купорос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11,81 тыс. м³/год, Cu 60 кг/м³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Cu входа:  </w:t>
      </w:r>
      <w:r>
        <w:rPr>
          <w:sz w:val="20"/>
        </w:rPr>
        <w:t xml:space="preserve">42 200 × 102,9 = 4 342,4 т/год</w:t>
      </w:r>
    </w:p>
    <w:p>
      <w:r>
        <w:rPr>
          <w:b/>
          <w:sz w:val="20"/>
        </w:rPr>
        <w:t xml:space="preserve">Cu в купорос:  </w:t>
      </w:r>
      <w:r>
        <w:rPr>
          <w:sz w:val="20"/>
        </w:rPr>
        <w:t xml:space="preserve">14 139 × 25,7 % = 3 633,7 т/год</w:t>
      </w:r>
    </w:p>
    <w:p>
      <w:r>
        <w:rPr>
          <w:b/>
          <w:sz w:val="20"/>
        </w:rPr>
        <w:t xml:space="preserve">Cu в маточник-1:  </w:t>
      </w:r>
      <w:r>
        <w:rPr>
          <w:sz w:val="20"/>
        </w:rPr>
        <w:t xml:space="preserve">11 810 × 60 = 708,6 т/год</w:t>
      </w:r>
    </w:p>
    <w:p>
      <w:r>
        <w:rPr>
          <w:b/>
          <w:sz w:val="20"/>
        </w:rPr>
        <w:t xml:space="preserve">Теоретический Cu в CuSO₄·5H₂O:  </w:t>
      </w:r>
      <w:r>
        <w:rPr>
          <w:sz w:val="20"/>
        </w:rPr>
        <w:t xml:space="preserve">63,546 / 249,69 = 25,45 %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Баланс меди: вход − купорос − маточник, т/год — невязка 0,1 т/год (≈0,001 % входа) — сходится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0,057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Cu в купоросе, % (заявлено vs теория пентагидрата) — 25,7 % ВЫШЕ теоретического максимума чистого CuSO₄·5H₂O (25,45 %)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25,7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25,4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+0,98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Массовый баланс меди сходится. Но заявленный состав купороса 25,7 % Cu превышает стехиометрический максимум пентагидрата (25,45 %): либо продукт частично обезвожен (примесь CuSO₄·H₂O/безводного ~1–2 %), либо базис состава иной. На гарантии качества продукта это влияет напрямую.</w:t>
      </w:r>
    </w:p>
    <w:p/>
    <w:p>
      <w:pPr>
        <w:pStyle w:val="Heading2"/>
      </w:pPr>
      <w:r>
        <w:rPr>
          <w:b/>
          <w:sz w:val="26"/>
        </w:rPr>
        <w:t xml:space="preserve">5.9 Баланс никеля купоросного передела. Лот №2 «Участок получения купороса». Блок L2-NI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Ni входа с фильтратом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42,2 тыс. м³ × 20,6 кг/м³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Ni продуктов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смешанный купорос 11,47 %, медный купорос 0,29 %, маточник-2 30,5 кг/м³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4.2; ИД ч.2 п. 1.4.2.2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Вход:  </w:t>
      </w:r>
      <w:r>
        <w:rPr>
          <w:sz w:val="20"/>
        </w:rPr>
        <w:t xml:space="preserve">869,3 т/год</w:t>
      </w:r>
    </w:p>
    <w:p>
      <w:r>
        <w:rPr>
          <w:b/>
          <w:sz w:val="20"/>
        </w:rPr>
        <w:t xml:space="preserve">Выход:  </w:t>
      </w:r>
      <w:r>
        <w:rPr>
          <w:sz w:val="20"/>
        </w:rPr>
        <w:t xml:space="preserve">763,7 (смеш.) + 54,9 (маточник-2) + 41,0 (медный) = 859,6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Невязка Ni, % входа — 9,7 т/год ≈ 1,1 % — в допуске округлений составов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1,12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0,000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Никель сводится с невязкой ~1 % — распределение по продуктам согласовано; смешанный купорос уносит 88 % никеля входа, что и требуется для вывода Ni из медного контура.</w:t>
      </w:r>
    </w:p>
    <w:p/>
    <w:p>
      <w:pPr>
        <w:pStyle w:val="Heading2"/>
      </w:pPr>
      <w:r>
        <w:rPr>
          <w:b/>
          <w:sz w:val="26"/>
        </w:rPr>
        <w:t xml:space="preserve">5.10 Выпарка: соотношение пар/испарённая вода. Лот №2 «Участок получения купороса». Блок L2-EVAP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Испарённая вода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27–28 тыс. т/год (3,3–3,4 т/ч)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расчёт БИ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Пар технологический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36,3 тыс. т/год (глухой 3,0 + острый 1,36 т/ч)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рис. 4.4/4.5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GOR (кг воды / кг пара):  </w:t>
      </w:r>
      <w:r>
        <w:rPr>
          <w:sz w:val="20"/>
        </w:rPr>
        <w:t xml:space="preserve">27 500 / 36 300 = 0,76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GOR вакуум-кристаллизации — паровое хозяйство согласовано с технологией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0,758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0,760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-0,32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Удельный расход пара соответствует одноступенчатой вакуум-кристаллизации; резерв экономии — механическая рекомпрессия пара (МВР), можно предложить Заказчику как опцию энергоэффективности.</w:t>
      </w:r>
    </w:p>
    <w:p/>
    <w:p>
      <w:pPr>
        <w:pStyle w:val="Heading2"/>
      </w:pPr>
      <w:r>
        <w:rPr>
          <w:b/>
          <w:sz w:val="26"/>
        </w:rPr>
        <w:t xml:space="preserve">5.11 Электроэкстракция: закон Фарадея, ток, напряжение, мощность. Лот №3 «Отделение электроэкстракции». Блок L3-FARADEY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8 066,1 кг/ч; 75 000 т/год номинал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Ванны и катоды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180 ванн (2×90); 84 матрицы/ванну ≈ 1,0×1,0 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4.2.2, п. 1.3.9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Удельный расход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1 942 кВт·ч/т (134 484 тыс. кВт·ч/год)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Выход по току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η = 89 % (из ИД: 49,49 кг/ч при 47,04 кА; U_в = 2,05 В при w = 1 942 кВт·ч/т)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3.1/4.2 (задан неявно) — см. п.6 раздела 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Электрохимический эквивалент:  </w:t>
      </w:r>
      <w:r>
        <w:rPr>
          <w:sz w:val="20"/>
        </w:rPr>
        <w:t xml:space="preserve">63,546 / (2 × 96 485) × 3600 = 1,1856 г/(А·ч)</w:t>
      </w:r>
    </w:p>
    <w:p>
      <w:r>
        <w:rPr>
          <w:b/>
          <w:sz w:val="20"/>
        </w:rPr>
        <w:t xml:space="preserve">Ток ванны:  </w:t>
      </w:r>
      <w:r>
        <w:rPr>
          <w:sz w:val="20"/>
        </w:rPr>
        <w:t xml:space="preserve">8 066 100 / 180 / (1,1856 × 0,89) ≈ 42 450 А (42,45 кА)</w:t>
      </w:r>
    </w:p>
    <w:p>
      <w:r>
        <w:rPr>
          <w:b/>
          <w:sz w:val="20"/>
        </w:rPr>
        <w:t xml:space="preserve">Катодная плотность тока:  </w:t>
      </w:r>
      <w:r>
        <w:rPr>
          <w:sz w:val="20"/>
        </w:rPr>
        <w:t xml:space="preserve">42 450 / (84 × 2 × 1,0 м²) = 252,7 А/м²</w:t>
      </w:r>
    </w:p>
    <w:p>
      <w:r>
        <w:rPr>
          <w:b/>
          <w:sz w:val="20"/>
        </w:rPr>
        <w:t xml:space="preserve">Напряжение ванны из удельного расхода:  </w:t>
      </w:r>
      <w:r>
        <w:rPr>
          <w:sz w:val="20"/>
        </w:rPr>
        <w:t xml:space="preserve">1 942 × 1,1856·10⁻³ × 0,89 = 2,05 В</w:t>
      </w:r>
    </w:p>
    <w:p>
      <w:r>
        <w:rPr>
          <w:b/>
          <w:sz w:val="20"/>
        </w:rPr>
        <w:t xml:space="preserve">Мощность серий:  </w:t>
      </w:r>
      <w:r>
        <w:rPr>
          <w:sz w:val="20"/>
        </w:rPr>
        <w:t xml:space="preserve">134 484 / 8 584,8 = 15,67 МВт (ср.); ток из мощности: ≈42 450 А</w:t>
      </w:r>
    </w:p>
    <w:p>
      <w:r>
        <w:rPr>
          <w:b/>
          <w:sz w:val="20"/>
        </w:rPr>
        <w:t xml:space="preserve">Проверка «280 А/м²»:  </w:t>
      </w:r>
      <w:r>
        <w:rPr>
          <w:sz w:val="20"/>
        </w:rPr>
        <w:t xml:space="preserve">280 А/м² × 168 м² × 180 ванн × 1,1856 × 0,89 × 8 584,8 ч → 76,7 тыс.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Ток ванны: Фарадей vs мощность/напряжение, А — два независимых пути дают один ток серии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42 450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42 454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Максимум при 280 А/м², тыс. т/год — при η = 89 % и фонде 8 584,8 ч — совпадение с ИД табл. 4.2 точное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76,7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Напряжение ванны, В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2,05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2,10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-2,42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Электрохимия самосогласована при η = 89 %, заданном в ИД неявно (49,49 кг/ч при 47,04 кА; U_в = 2,05 В при w = 1 942 кВт·ч/т): ток ванны ≈42,45 кА (плотность 252,7 А/м²), напряжение 2,05 В, мощность выпрямления ≈15,7 МВт (ср.). Проверка при 280 А/м² и фонде 8 584,8 ч даёт 76,7 тыс. т/год — точное совпадение с ИД табл. 4.2. Подтверждение η запросить у Гипроникеля (см. п.6 раздела 1).</w:t>
      </w:r>
    </w:p>
    <w:p/>
    <w:p>
      <w:pPr>
        <w:pStyle w:val="Heading2"/>
      </w:pPr>
      <w:r>
        <w:rPr>
          <w:b/>
          <w:sz w:val="26"/>
        </w:rPr>
        <w:t xml:space="preserve">5.12 Контур растворов: смешение и съём меди. Лот №3 «Отделение электроэкстракции». Блок L3-MIX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Богатый фильтрат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102,9 кг/м³ Cu; отсечка в контур 124,7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4.1; ИД ч.2 табл. 3.1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Оборотный (бедный)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35 кг/м³ Cu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Питание ванн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40 кг/м³ (съём 5 кг/м³); поток 1 600–1 650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Поток питания из уравнения смешения:  </w:t>
      </w:r>
      <w:r>
        <w:rPr>
          <w:sz w:val="20"/>
        </w:rPr>
        <w:t xml:space="preserve">124,7 × (102,9 − 35) / (40 − 35) = 1 693 м³/ч</w:t>
      </w:r>
    </w:p>
    <w:p>
      <w:r>
        <w:rPr>
          <w:b/>
          <w:sz w:val="20"/>
        </w:rPr>
        <w:t xml:space="preserve">Медь съёмом:  </w:t>
      </w:r>
      <w:r>
        <w:rPr>
          <w:sz w:val="20"/>
        </w:rPr>
        <w:t xml:space="preserve">5,0 × 1 634,5 × 8 584,8 ч = 70 159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Поток питания серий, м³/ч — сходится в середину диапазона с учётом подпитки купоросным раствором 3,2–3,5 м³/ч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1 693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1 625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+4,21</w:t>
            </w:r>
          </w:p>
        </w:tc>
        <w:tc>
          <w:tcPr>
            <w:tcW w:w="1504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Производительность по съёму,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70 159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69 250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+1,31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Гидравлика контура и электрохимия согласованы: уравнение смешения независимо воспроизводит поток питания 1,6–1,65 тыс. м³/ч, съём 5 кг/м³ — расчётную производительность. Подтверждаем правильность выбора 180 ванн (163 расчётно × 1,10 = 179,3).</w:t>
      </w:r>
    </w:p>
    <w:p/>
    <w:p>
      <w:pPr>
        <w:pStyle w:val="Heading2"/>
      </w:pPr>
      <w:r>
        <w:rPr>
          <w:b/>
          <w:sz w:val="26"/>
        </w:rPr>
        <w:t xml:space="preserve">5.13 Потоки склада готовой продукции. Лот №4 «Склад готовой продукции». Блок L4-PACK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75 000 т/год; пакет 2 500 ± 50 кг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ТЗ; ИД п. 1.3.11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Режим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358 сут/год; полувагон 27 пакетов (67,5 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5.3; расчёт БИ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Пакетов в год / в сутки:  </w:t>
      </w:r>
      <w:r>
        <w:rPr>
          <w:sz w:val="20"/>
        </w:rPr>
        <w:t xml:space="preserve">75 000 / 2,5 = 30 000; 83,8/сут</w:t>
      </w:r>
    </w:p>
    <w:p>
      <w:r>
        <w:rPr>
          <w:b/>
          <w:sz w:val="20"/>
        </w:rPr>
        <w:t xml:space="preserve">Отгрузка:  </w:t>
      </w:r>
      <w:r>
        <w:rPr>
          <w:sz w:val="20"/>
        </w:rPr>
        <w:t xml:space="preserve">3,1 полувагона/сут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Пакетов в сутки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83,8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84,0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-0,24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Полувагонов в сутки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3,10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+0,12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Потоки склада подтверждены; буфер 3 000 т покрывает 14,3 суток отгрузки — устойчив к недельным сбоям подачи вагонов.</w:t>
      </w:r>
    </w:p>
    <w:p/>
    <w:p>
      <w:pPr>
        <w:pStyle w:val="Heading2"/>
      </w:pPr>
      <w:r>
        <w:rPr>
          <w:b/>
          <w:sz w:val="26"/>
        </w:rPr>
        <w:t xml:space="preserve">5.14 Новый корпус электроэкстракции: компоновка расчётом (сценарий «новое строительство»). Лот №3 «Отделение электроэкстракции». Блок L3-NB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Базис размещения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новое строительство на свободной территории (ТЗ v4.1 п.1.3 от 25.08.2026)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п.1.3; остаточное противоречие внутри v4.1 — см. п.7 раздела 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180 шт. (2 серии × 90, ряды по 45); 84 катода/ванну, шаг 95 мм (прил. В ДЕЛЬТА)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4.2.2, п. 1.3.9; прил. В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Кран и отметки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мостовые краны над ваннами; подъём матрицы ≈1,3 м + траверса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практика tankhouse; ИД ч.2 (КСМ)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Ванна в плане:  </w:t>
      </w:r>
      <w:r>
        <w:rPr>
          <w:sz w:val="20"/>
        </w:rPr>
        <w:t xml:space="preserve">8,645 × 1,315 м (ДЕЛЬТА, прил. В)</w:t>
      </w:r>
    </w:p>
    <w:p>
      <w:r>
        <w:rPr>
          <w:b/>
          <w:sz w:val="20"/>
        </w:rPr>
        <w:t xml:space="preserve">Ряд из 45 ванн:  </w:t>
      </w:r>
      <w:r>
        <w:rPr>
          <w:sz w:val="20"/>
        </w:rPr>
        <w:t xml:space="preserve">44 × 1,40 + 1,32 = 62,9 м ≈ 63 м</w:t>
      </w:r>
    </w:p>
    <w:p>
      <w:r>
        <w:rPr>
          <w:b/>
          <w:sz w:val="20"/>
        </w:rPr>
        <w:t xml:space="preserve">Корпус:  </w:t>
      </w:r>
      <w:r>
        <w:rPr>
          <w:sz w:val="20"/>
        </w:rPr>
        <w:t xml:space="preserve">36 × 190 × 17 м (2 пролёта по 18 м; 2 серии последовательно: 2 × 63 + КСМ 30 + ремзона 20 = 176 м &lt; 190 м — увеличенный резерв)</w:t>
      </w:r>
    </w:p>
    <w:p>
      <w:r>
        <w:rPr>
          <w:b/>
          <w:sz w:val="20"/>
        </w:rPr>
        <w:t xml:space="preserve">Объёмы:  </w:t>
      </w:r>
      <w:r>
        <w:rPr>
          <w:sz w:val="20"/>
        </w:rPr>
        <w:t xml:space="preserve">корпус ЭЭ 116 + электролитное 12 + купорос 16 + склад ГП 32 = 177 тыс. м³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Длина корпуса vs существующий ЦЭМ (186 м), м — новый корпус того же порядка — компоновочная логика ИД сохраняется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189,5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186,0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+1,88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Кубатура ЭЭ на тонну мощности, м³/т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1,71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1,90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-10,13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Новый корпус ЭЭ 36 × 190 м с высотой до низа ферм ~16 м вмещает 180 ванн в две последовательные серии с зоной КСМ и ремзоной — газоочистка, аспирация и электролитное отделение в пристрое. Посадка на генплан, привязка к сетям и полные строительные нагрузки нового корпуса — добавляются в состав БИ (сценарий «новое строительство»).</w:t>
      </w:r>
    </w:p>
    <w:p/>
    <w:p>
      <w:pPr>
        <w:pStyle w:val="Heading2"/>
      </w:pPr>
      <w:r>
        <w:rPr>
          <w:b/>
          <w:sz w:val="26"/>
        </w:rPr>
        <w:t xml:space="preserve">5.15 Стоимость нового строительства (базис ТЗ v4.1 п.1.3). Комплекс в целом. Блок X-NB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Объёмы L3-NB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ЭЭ+электролитное 128 тыс. м³; купорос 16; склад 32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L3-NB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Удельники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45–65 тыс. ₽/м³ (промкаркас, V снеговой район, сети в здании); ЭЭ ×1,15 (кислотостойкие полы и фундаменты ванн); склад 40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 Class 5 по аналогам 2025–2026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Корпус ЭЭ с электролитным:  </w:t>
      </w:r>
      <w:r>
        <w:rPr>
          <w:sz w:val="20"/>
        </w:rPr>
        <w:t xml:space="preserve">6,6–9,6 млрд ₽ (середина 8,1)</w:t>
      </w:r>
    </w:p>
    <w:p>
      <w:r>
        <w:rPr>
          <w:b/>
          <w:sz w:val="20"/>
        </w:rPr>
        <w:t xml:space="preserve">Купорос / склад ГП:  </w:t>
      </w:r>
      <w:r>
        <w:rPr>
          <w:sz w:val="20"/>
        </w:rPr>
        <w:t xml:space="preserve">0,9 / 1,3 млрд ₽</w:t>
      </w:r>
    </w:p>
    <w:p>
      <w:r>
        <w:rPr>
          <w:b/>
          <w:sz w:val="20"/>
        </w:rPr>
        <w:t xml:space="preserve">Итого новые здания лотов 2–4:  </w:t>
      </w:r>
      <w:r>
        <w:rPr>
          <w:sz w:val="20"/>
        </w:rPr>
        <w:t xml:space="preserve">≈10,3 млрд ₽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Удельная стоимость новых зданий лотов 2–4 (Class 5), тыс. ₽/м³ — к середине диапазона аналогов 45–65 — средневзвешенный удельник (10,3 млрд ₽ / 176 тыс. м³) в границах диапазона аналогов; уточняется бюджетными ТКП и сметой на стадии БИ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58,5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55,0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+6,4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Базис нового строительства (ТЗ v4.1 п.1.3) учтён в CAPEX: новые здания лотов 2–4 ≈10,3 млрд ₽ (сверх корпуса обжига, который и в ТЗ был новым), строительный цикл ~18–24 месяца. Строка CAPEX «реконструкция ЦЭМ/ГМУ» заменена на три строки нового строительства.</w:t>
      </w:r>
    </w:p>
    <w:p/>
    <w:p>
      <w:pPr>
        <w:pStyle w:val="Heading2"/>
      </w:pPr>
      <w:r>
        <w:rPr>
          <w:b/>
          <w:sz w:val="26"/>
        </w:rPr>
        <w:t xml:space="preserve">5.16 Сводная электрическая нагрузка комплекса (для ТУ). Комплекс в целом. Блок EL-TOTAL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Составляющие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Лот 1 (обжиг): ср, 0,98 МВт; Лот 2 (купорос): ср, 0,19 МВт; Лот 3 (ЭЭ: выпрямление + вспом,): ср, 16,07 МВт; Лот 4 (склад): ср, 0,08 МВт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26, табл. 8.5 + досчёты КВАНТ (L1-EL, L3-FARADEY)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Средняя нагрузка комплекса:  </w:t>
      </w:r>
      <w:r>
        <w:rPr>
          <w:sz w:val="20"/>
        </w:rPr>
        <w:t xml:space="preserve">17,3 МВт</w:t>
      </w:r>
    </w:p>
    <w:p>
      <w:r>
        <w:rPr>
          <w:b/>
          <w:sz w:val="20"/>
        </w:rPr>
        <w:t xml:space="preserve">Установленная (оценка с резервами):  </w:t>
      </w:r>
      <w:r>
        <w:rPr>
          <w:sz w:val="20"/>
        </w:rPr>
        <w:t xml:space="preserve">≈21 МВт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Средняя нагрузка, МВт — для запроса ТУ у сетевой организации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+1,83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Для запроса ТУ: средняя нагрузка ≈17.3 МВт, установленная ≈21 МВт, доминанта — выпрямители электроэкстракции (I категория надёжности; окно отключений ≤ 2 ч из-за пассивации анодов). Разбивку по категориям ПУЭ выдаём в составе БИ.</w:t>
      </w:r>
    </w:p>
    <w:p/>
    <w:p>
      <w:pPr>
        <w:pStyle w:val="Heading2"/>
      </w:pPr>
      <w:r>
        <w:rPr>
          <w:b/>
          <w:sz w:val="26"/>
        </w:rPr>
        <w:t xml:space="preserve">5.17 Укрупнённый объём сигналов АСУТП (для выбора контроллеров). Комплекс в целом. Блок IO-TOTAL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База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перечень оборудования БИ (70 позиций) × типовые наборы сигналов на агрегат/контур + 30 % запас (Прил.5)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перечень оборудования БИ; Прил. №5 (запас модулей ввода/вывода ≥30 %)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По лотам:  </w:t>
      </w:r>
      <w:r>
        <w:rPr>
          <w:sz w:val="20"/>
        </w:rPr>
        <w:t xml:space="preserve">Лот 1: 700–1000; Лот 2: 350–500; Лот 3: 450–650; Лот 4: 200–300</w:t>
      </w:r>
    </w:p>
    <w:p>
      <w:r>
        <w:rPr>
          <w:b/>
          <w:sz w:val="20"/>
        </w:rPr>
        <w:t xml:space="preserve">Итого по комплексу:  </w:t>
      </w:r>
      <w:r>
        <w:rPr>
          <w:sz w:val="20"/>
        </w:rPr>
        <w:t xml:space="preserve">1700–2450 физических сигналов (с запасом 30 %)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Порядок величины I/O — 8–12 крейтов REGUL RX00; уточняется перечнями сигналов на детальном этапе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2 075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+3,75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Порядок 1,7–2,4 тыс. сигналов задаёт состав КТС (контроллеры, станции в/в, серверы SCADA) и бюджет АСУ в Class 3 оценке. Детальный I/O list — этап детального инжиниринга.</w:t>
      </w:r>
    </w:p>
    <w:p/>
    <w:p>
      <w:pPr>
        <w:pStyle w:val="Heading2"/>
      </w:pPr>
      <w:r>
        <w:rPr>
          <w:b/>
          <w:sz w:val="26"/>
        </w:rPr>
        <w:t xml:space="preserve">5.18 Сквозной баланс меди: сырьё лота 1 → катодная медь лота 3. Комплекс в целом. Блок X-CU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Приход Cu в шихту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71 264,3 т/год (наш L1-MET)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КВАНТ по ИД табл. 22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Уходы мимо катода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потери 0,47 % · смешанный купорос (9,79 % Cu → NNH) · маточник-2 (в ЦЭН)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22; ТЗ п. 4.2; ИД ч.2 п. 1.4.2.2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Расчётная катодная ИД ч.2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8 066,1 кг/ч × 8 584,8 ч = 69 246 т/год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Доступно к катоду:  </w:t>
      </w:r>
      <w:r>
        <w:rPr>
          <w:sz w:val="20"/>
        </w:rPr>
        <w:t xml:space="preserve">71 264,3 − 334,7 − 651,8 − 26,1 = 70 251,7 т/год</w:t>
      </w:r>
    </w:p>
    <w:p>
      <w:r>
        <w:rPr>
          <w:b/>
          <w:sz w:val="20"/>
        </w:rPr>
        <w:t xml:space="preserve">Дефицит к «75 000 т/год»:  </w:t>
      </w:r>
      <w:r>
        <w:rPr>
          <w:sz w:val="20"/>
        </w:rPr>
        <w:t xml:space="preserve">75 000 − 70 251,7 = 4 748,3 т (6,3 %)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Доступная медь vs расчётная катодная ИД ч.2, т/год — остаток 1,45 % — оборотная незавершёнка и неучтённые эффекты (потери ГМЦ 0,10 % уже входят в вычтенные 0,47 % и второй раз не считаются)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70 252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69 246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+1,45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Обеспеченность «75 000 т/год» сырьём, % — сырьё ИД покрывает ≈93,7 % заявленной мощности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93,7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-6,33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Сквозной баланс замыкается на расчётную производительность ИД ч.2 (69,25 тыс. т) с невязкой 1,45 % — данные согласованы. Но заявленные «75 000 т/год» — это МОЩНОСТЬ оборудования (280 А/м² → 76,7 тыс. т), а не выпуск: заявленное сырьё обеспечивает ~69–70 тыс. т катодной меди. В гарантиях это обязательно разделить, иначе с нас спросят 75 000 при сырье на 69.</w:t>
      </w:r>
    </w:p>
    <w:p/>
    <w:p>
      <w:pPr>
        <w:pStyle w:val="Heading2"/>
      </w:pPr>
      <w:r>
        <w:rPr>
          <w:b/>
          <w:sz w:val="26"/>
        </w:rPr>
        <w:t xml:space="preserve">5.19 Кислотная точка росы газов (коррозионная граница тракта). Лот №1 «Цех обжига». Блок L1-DEW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Состав газа на СКЦ (осн./вспом.)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H₂O 19,27/13,26 %; SO₃ 0,718/0,437 %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п.400–403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Метод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корреляция Verhoff–Banchero (H₂SO₄-точка росы по парциальным давлениям)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справочная корреляция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Точка росы, основной вариант:  </w:t>
      </w:r>
      <w:r>
        <w:rPr>
          <w:sz w:val="20"/>
        </w:rPr>
        <w:t xml:space="preserve">218 °C</w:t>
      </w:r>
    </w:p>
    <w:p>
      <w:r>
        <w:rPr>
          <w:b/>
          <w:sz w:val="20"/>
        </w:rPr>
        <w:t xml:space="preserve">Точка росы, вспомогательный:  </w:t>
      </w:r>
      <w:r>
        <w:rPr>
          <w:sz w:val="20"/>
        </w:rPr>
        <w:t xml:space="preserve">210 °C</w:t>
      </w:r>
    </w:p>
    <w:p>
      <w:r>
        <w:rPr>
          <w:b/>
          <w:sz w:val="20"/>
        </w:rPr>
        <w:t xml:space="preserve">Запас тракта при 387 °C:  </w:t>
      </w:r>
      <w:r>
        <w:rPr>
          <w:sz w:val="20"/>
        </w:rPr>
        <w:t xml:space="preserve">169 °C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Запас газа над точкой росы, °C — в потоке запас большой; риск — холодные стенки и остановки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169,1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150,0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+12,7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Точка росы H₂SO₄ ≈ 218 °C (осн.) — в номинале тракт сухой, но конденсация начнётся на любой стенке холоднее ≈218 °C: требования БИ — минимальная температура стенок газоходов/бункеров ЭФ ≥ 240 °C (изоляция, обогрев холодных мостов), продувка тракта при остановках, кислотостойкое исполнение узлов подсосов. За коррозию тракта спросят на межремонтном пробеге.</w:t>
      </w:r>
    </w:p>
    <w:p/>
    <w:p>
      <w:pPr>
        <w:pStyle w:val="Heading2"/>
      </w:pPr>
      <w:r>
        <w:rPr>
          <w:b/>
          <w:sz w:val="26"/>
        </w:rPr>
        <w:t xml:space="preserve">5.20 Печь КС: проверка фактической геометрии HATCH нашей моделью. Лот №1 «Цех обжига». Блок L1-BED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Геометрия печи (ИД ч.1, стр. 417–418)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конус 21° (полный угол; уклон 0,18527 на сторону): Ø6000 подина → Ø8390 газоход; высота конуса 6 450; решётка 583 сопла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разд. 2.3 (конструкция HATCH)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Время пребывания / огарок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9 ч при 930 °C; 10,34 т/ч номинал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разд. 2.3; табл. 22/23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Плотность псевдоожиженного слоя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≈1,3 т/м³ (вспученное состояние)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Масса и объём слоя:  </w:t>
      </w:r>
      <w:r>
        <w:rPr>
          <w:sz w:val="20"/>
        </w:rPr>
        <w:t xml:space="preserve">10,34 × 9 = 93,1 т → 71,6 м³</w:t>
      </w:r>
    </w:p>
    <w:p>
      <w:r>
        <w:rPr>
          <w:b/>
          <w:sz w:val="20"/>
        </w:rPr>
        <w:t xml:space="preserve">Высота слоя в конусе (решение V(h), уклон 0,18527 на сторону):  </w:t>
      </w:r>
      <w:r>
        <w:rPr>
          <w:sz w:val="20"/>
        </w:rPr>
        <w:t xml:space="preserve">h ≈ 2,21 м; зеркало слоя Ø 6,82 м (36,5 м²)</w:t>
      </w:r>
    </w:p>
    <w:p>
      <w:r>
        <w:rPr>
          <w:b/>
          <w:sz w:val="20"/>
        </w:rPr>
        <w:t xml:space="preserve">Напряжённость по зеркалу слоя:  </w:t>
      </w:r>
      <w:r>
        <w:rPr>
          <w:sz w:val="20"/>
        </w:rPr>
        <w:t xml:space="preserve">323,9 т/сут ÷ 36,5 м² = 8,86 т/(м²·сут)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Высота слоя, м — 9-часовое пребывание в конусной печи даёт слой ~2,2 м — в типовом диапазоне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2,21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+10,75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Напряжённость по зеркалу слоя, т/(м²·сут) — ВЫШЕ диапазона 4–8 (по подине была бы 11,5; конус смягчает, но не выводит в норму) — запас площади пода вынесен вопросом Гипроникелю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8,86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+26,64</w:t>
            </w:r>
          </w:p>
        </w:tc>
        <w:tc>
          <w:tcPr>
            <w:tcW w:w="1504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</w:tbl>
    <w:p>
      <w:r>
        <w:rPr>
          <w:b/>
        </w:rPr>
        <w:t xml:space="preserve">Вывод: </w:t>
      </w:r>
      <w:r>
        <w:t xml:space="preserve">Пересчёт на фактической геометрии HATCH с корректным уклоном 0,18527 на сторону (21° по ИД — полный угол конуса Ø6000→Ø8390/6450): слой ~2,2 м, зеркало Ø6,8 м (36,5 м²), напряжённость 8,86 т/(м²·сут) — ВЫШЕ диапазона мировой практики 4–8: запас площади пода/зеркала требует подтверждения Гипроникелем (базис HATCH). Конус по-прежнему решает сепарацию (скорость газа падает к газоходу) — см. L1-FLUID. Геометрия передана в CFD-кейс взамен нашей цилиндрической оценки.</w:t>
      </w:r>
    </w:p>
    <w:p/>
    <w:p>
      <w:pPr>
        <w:pStyle w:val="Heading2"/>
      </w:pPr>
      <w:r>
        <w:rPr>
          <w:b/>
          <w:sz w:val="26"/>
        </w:rPr>
        <w:t xml:space="preserve">5.21 Гидродинамика слоя КС (пред-CFD): скорости и механизм уноса. Лот №1 «Цех обжига». Блок L1-FLUID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Частицы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огарок 449 мкм (слой), концентрат 25,5 мкм (свежая шихта); ρ ≈ 5 300 кг/м³ (оценка)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(крупности); оценка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Газ в слое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930 °C; ρ = 0,304 кг/м³; μ = 4,6·10⁻⁵ Па·с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справочные свойства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Сечения конусной печи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подина 28 м² → зеркало слоя 36,5 м² → газоход 55 м²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подина и газоход — ИД ч.1 стр. 417 (геометрия HATCH); зеркало слоя — расчёт КВАНТ (L1-BED)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Критерий Архимеда:  </w:t>
      </w:r>
      <w:r>
        <w:rPr>
          <w:sz w:val="20"/>
        </w:rPr>
        <w:t xml:space="preserve">Ar = 676</w:t>
      </w:r>
    </w:p>
    <w:p>
      <w:r>
        <w:rPr>
          <w:b/>
          <w:sz w:val="20"/>
        </w:rPr>
        <w:t xml:space="preserve">Мин. скорость псевдоожижения (Wen–Yu):  </w:t>
      </w:r>
      <w:r>
        <w:rPr>
          <w:sz w:val="20"/>
        </w:rPr>
        <w:t xml:space="preserve">u_mf = 0,137 м/с</w:t>
      </w:r>
    </w:p>
    <w:p>
      <w:r>
        <w:rPr>
          <w:b/>
          <w:sz w:val="20"/>
        </w:rPr>
        <w:t xml:space="preserve">Скорость газа по высоте конуса:  </w:t>
      </w:r>
      <w:r>
        <w:rPr>
          <w:sz w:val="20"/>
        </w:rPr>
        <w:t xml:space="preserve">подина 0,46 → зеркало 0,35 → газоход 0,23 м/с</w:t>
      </w:r>
    </w:p>
    <w:p>
      <w:r>
        <w:rPr>
          <w:b/>
          <w:sz w:val="20"/>
        </w:rPr>
        <w:t xml:space="preserve">Терминальные скорости:  </w:t>
      </w:r>
      <w:r>
        <w:rPr>
          <w:sz w:val="20"/>
        </w:rPr>
        <w:t xml:space="preserve">концентрат 25,5 мкм: 0,041 м/с; огарок 449 мкм: 6,1 м/с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Число псевдоожижения на зеркале слоя u/u_mf — у подины 3,3 (энергичное кипение), к зеркалу 2,6 — конус гасит скорость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2,58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+28,8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Вынос мелкой фракции: u/u_t(25,5 мкм) — свежая шихта выносится, пока не укрупнится в слое — механизм пылевыноса 19–29 % подтверждён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8,69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+73,85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Конус работает как встроенный сепаратор: скорость газа падает от 0,46 м/с у подины до 0,23 м/с у газохода — крупный огарок (u_t ≈ 6 м/с) остаётся в слое, свежий концентрат 25,5 мкм (u_t ≈ 0,04 м/с) выносится до укрупнения — физика пылевыноса 19/29 % подтверждена на фактической геометрии HATCH. Точную карту слоя даст CFD (кейс обновлён конусной геометрией).</w:t>
      </w:r>
    </w:p>
    <w:p/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Перечень того, что определяется на стадии БИ: базис исходных данных, требующий подтверждения разработчиком ИД; сверки, не закрытые расчётом; данные, уточнение которых сужает расчётные интервалы.</w:t>
      </w:r>
    </w:p>
    <w:p>
      <w:r>
        <w:rPr>
          <w:b/>
          <w:sz w:val="21"/>
        </w:rPr>
        <w:t xml:space="preserve">Подтверждение базиса исходных данных</w:t>
      </w:r>
    </w:p>
    <w:p>
      <w:r>
        <w:rPr>
          <w:b/>
          <w:sz w:val="19"/>
        </w:rPr>
        <w:t xml:space="preserve">1. </w:t>
      </w:r>
      <w:r>
        <w:rPr>
          <w:sz w:val="19"/>
        </w:rPr>
        <w:t xml:space="preserve">Газовые потоки ИД — часовые максимумы (K=1,15): тракт и СКЦ проверять именно на них (к сведению).</w:t>
      </w:r>
    </w:p>
    <w:p>
      <w:r>
        <w:rPr>
          <w:b/>
          <w:sz w:val="19"/>
        </w:rPr>
        <w:t xml:space="preserve">2. </w:t>
      </w:r>
      <w:r>
        <w:rPr>
          <w:sz w:val="19"/>
        </w:rPr>
        <w:t xml:space="preserve">Кислород: норма расхода табл. 26 превышает балансовую потребность на ~16 % (существенный).</w:t>
      </w:r>
    </w:p>
    <w:p>
      <w:r>
        <w:rPr>
          <w:b/>
          <w:sz w:val="19"/>
        </w:rPr>
        <w:t xml:space="preserve">3. </w:t>
      </w:r>
      <w:r>
        <w:rPr>
          <w:sz w:val="19"/>
        </w:rPr>
        <w:t xml:space="preserve">Тепловой эффект обжига 2,378 ГДж/т — запросить расчёт (наша оценка 2,7–2,9) (существенный).</w:t>
      </w:r>
    </w:p>
    <w:p>
      <w:r>
        <w:rPr>
          <w:b/>
          <w:sz w:val="19"/>
        </w:rPr>
        <w:t xml:space="preserve">4. </w:t>
      </w:r>
      <w:r>
        <w:rPr>
          <w:sz w:val="19"/>
        </w:rPr>
        <w:t xml:space="preserve">Электропотребление лота 1: потребители, не нормированные в ИД табл. 26, дают ≈ +56 % к учтённому (существенный).</w:t>
      </w:r>
    </w:p>
    <w:p>
      <w:r>
        <w:rPr>
          <w:b/>
          <w:sz w:val="19"/>
        </w:rPr>
        <w:t xml:space="preserve">5. </w:t>
      </w:r>
      <w:r>
        <w:rPr>
          <w:sz w:val="19"/>
        </w:rPr>
        <w:t xml:space="preserve">Cu в медном купоросе 25,7 % &gt; теоретических 25,45 % для CuSO₄·5H₂O (существенный).</w:t>
      </w:r>
    </w:p>
    <w:p>
      <w:r>
        <w:rPr>
          <w:b/>
          <w:sz w:val="19"/>
        </w:rPr>
        <w:t xml:space="preserve">6. </w:t>
      </w:r>
      <w:r>
        <w:rPr>
          <w:sz w:val="19"/>
        </w:rPr>
        <w:t xml:space="preserve">η в ИД задан неявно (≈89 % из табл. 3.1/4.2) — запросить подтверждение (требует уточнения).</w:t>
      </w:r>
    </w:p>
    <w:p>
      <w:r>
        <w:rPr>
          <w:b/>
          <w:sz w:val="19"/>
        </w:rPr>
        <w:t xml:space="preserve">7. </w:t>
      </w:r>
      <w:r>
        <w:rPr>
          <w:sz w:val="19"/>
        </w:rPr>
        <w:t xml:space="preserve">Базис — новое строительство: подтверждён ТЗ v4.1 п.1.3; открыты статус Прил.№6/№7 и генплан (существенный).</w:t>
      </w:r>
    </w:p>
    <w:p>
      <w:r>
        <w:rPr>
          <w:b/>
          <w:sz w:val="19"/>
        </w:rPr>
        <w:t xml:space="preserve">8. </w:t>
      </w:r>
      <w:r>
        <w:rPr>
          <w:sz w:val="19"/>
        </w:rPr>
        <w:t xml:space="preserve">Титульная производительность 75 000 т/год требует сырьевого баланса сверх ИД табл. 22 (расчётная обеспеченность ≈94 %) (существенный).</w:t>
      </w:r>
    </w:p>
    <w:p>
      <w:r>
        <w:rPr>
          <w:b/>
          <w:sz w:val="19"/>
        </w:rPr>
        <w:t xml:space="preserve">9. </w:t>
      </w:r>
      <w:r>
        <w:rPr>
          <w:sz w:val="19"/>
        </w:rPr>
        <w:t xml:space="preserve">Кислотная точка росы газов ≈218/210 °C — заложить требования к стенкам тракта (≥240 °C) и продувке при остановках (существенный).</w:t>
      </w:r>
    </w:p>
    <w:p>
      <w:r>
        <w:rPr>
          <w:b/>
          <w:sz w:val="19"/>
        </w:rPr>
        <w:t xml:space="preserve">10. </w:t>
      </w:r>
      <w:r>
        <w:rPr>
          <w:sz w:val="19"/>
        </w:rPr>
        <w:t xml:space="preserve">Габарит печи КС найден в ИД ч.1 (стр. 417): конус Ø6000→8390 (полный угол 21°), 583 сопла — модель и CFD-кейс обновлены (к сведению).</w:t>
      </w:r>
    </w:p>
    <w:p>
      <w:r>
        <w:rPr>
          <w:b/>
          <w:sz w:val="19"/>
        </w:rPr>
        <w:t xml:space="preserve">11. </w:t>
      </w:r>
      <w:r>
        <w:rPr>
          <w:sz w:val="19"/>
        </w:rPr>
        <w:t xml:space="preserve">Хлор в электролите 25–30 г/м³ — на пределе стойкости матриц 316L (кампания 6 лет под риском) (существенный).</w:t>
      </w:r>
    </w:p>
    <w:p>
      <w:r>
        <w:rPr>
          <w:b/>
          <w:sz w:val="21"/>
        </w:rPr>
        <w:t xml:space="preserve">Сверки, не закрытые расчётом</w:t>
      </w:r>
    </w:p>
    <w:p>
      <w:r>
        <w:rPr>
          <w:b/>
          <w:sz w:val="19"/>
        </w:rPr>
        <w:t xml:space="preserve">12. </w:t>
      </w:r>
      <w:r>
        <w:rPr>
          <w:sz w:val="19"/>
        </w:rPr>
        <w:t xml:space="preserve">Блок L1-O2. Подача O₂ vs сведение баланса (SO₂ + твёрдые + газ, за вычетом O₂ подсосов), млн нм³/год: расчёт КВАНТ 46,7 против 40,1 по ИД (отклонение 16,47 %).</w:t>
      </w:r>
    </w:p>
    <w:p>
      <w:r>
        <w:rPr>
          <w:b/>
          <w:sz w:val="19"/>
        </w:rPr>
        <w:t xml:space="preserve">13. </w:t>
      </w:r>
      <w:r>
        <w:rPr>
          <w:sz w:val="19"/>
        </w:rPr>
        <w:t xml:space="preserve">Блок L1-HEAT. Удельный тепловой эффект, ГДж/т шихты: расчёт КВАНТ 2,86 против 2,38 по ИД (отклонение 20,11 %).</w:t>
      </w:r>
    </w:p>
    <w:p>
      <w:r>
        <w:rPr>
          <w:b/>
          <w:sz w:val="19"/>
        </w:rPr>
        <w:t xml:space="preserve">14. </w:t>
      </w:r>
      <w:r>
        <w:rPr>
          <w:sz w:val="19"/>
        </w:rPr>
        <w:t xml:space="preserve">Блок L1-EL. Дымосос: потребляемая (вспом., Δp 10 кПа) vs нормированная, кВт: расчёт КВАНТ 177,1 против 400,0 по ИД (отклонение -55,74 %).</w:t>
      </w:r>
    </w:p>
    <w:p>
      <w:r>
        <w:rPr>
          <w:b/>
          <w:sz w:val="19"/>
        </w:rPr>
        <w:t xml:space="preserve">15. </w:t>
      </w:r>
      <w:r>
        <w:rPr>
          <w:sz w:val="19"/>
        </w:rPr>
        <w:t xml:space="preserve">Блок L2-CU. Cu в купоросе, % (заявлено vs теория пентагидрата): расчёт КВАНТ 25,7 против 25,4 по ИД (отклонение 0,98 %).</w:t>
      </w:r>
    </w:p>
    <w:p>
      <w:r>
        <w:rPr>
          <w:b/>
          <w:sz w:val="19"/>
        </w:rPr>
        <w:t xml:space="preserve">16. </w:t>
      </w:r>
      <w:r>
        <w:rPr>
          <w:sz w:val="19"/>
        </w:rPr>
        <w:t xml:space="preserve">Блок X-CU. Обеспеченность «75 000 т/год» сырьём, %: расчёт КВАНТ 93,7 против 100,0 по ИД (отклонение -6,33 %).</w:t>
      </w:r>
    </w:p>
    <w:p>
      <w:r>
        <w:rPr>
          <w:b/>
          <w:sz w:val="21"/>
        </w:rPr>
        <w:t xml:space="preserve">Данные, сужающие расчётные интервалы</w:t>
      </w:r>
    </w:p>
    <w:p>
      <w:r>
        <w:rPr>
          <w:b/>
          <w:sz w:val="19"/>
        </w:rPr>
        <w:t xml:space="preserve">17. </w:t>
      </w:r>
      <w:r>
        <w:rPr>
          <w:sz w:val="19"/>
        </w:rPr>
        <w:t xml:space="preserve">Катодная медь, т/год: размах P10–P90 4,2 % — паспорта/планы поставок сырья.</w:t>
      </w:r>
    </w:p>
    <w:p>
      <w:r>
        <w:rPr>
          <w:b/>
          <w:sz w:val="19"/>
        </w:rPr>
        <w:t xml:space="preserve">18. </w:t>
      </w:r>
      <w:r>
        <w:rPr>
          <w:sz w:val="19"/>
        </w:rPr>
        <w:t xml:space="preserve">Пар КУ, т/ч: размах P10–P90 19,2 % — расчёт теплового эффекта Гипроникеля (п.3 раздела 1).</w:t>
      </w:r>
    </w:p>
    <w:p>
      <w:r>
        <w:rPr>
          <w:b/>
          <w:sz w:val="19"/>
        </w:rPr>
        <w:t xml:space="preserve">19. </w:t>
      </w:r>
      <w:r>
        <w:rPr>
          <w:sz w:val="19"/>
        </w:rPr>
        <w:t xml:space="preserve">SO₂ на СКЦ (номинал), %: размах P10–P90 11,8 % — стабильность шихтовки и подсосов.</w:t>
      </w:r>
    </w:p>
    <w:p>
      <w:r>
        <w:rPr>
          <w:b/>
          <w:sz w:val="19"/>
        </w:rPr>
        <w:t xml:space="preserve">20. </w:t>
      </w:r>
      <w:r>
        <w:rPr>
          <w:sz w:val="19"/>
        </w:rPr>
        <w:t xml:space="preserve">Электрика лота 1, млн кВт·ч/год: размах P10–P90 19,2 % — опросные листы воздуходувки/вакуума (п.4 раздела 1).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raschet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