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ОВЭ75-RFQ-25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Пластинчатые теплообменники (вне БИ).</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Подогрев бедного электролита 1500 кВт + холодильники электролита 2 × 2500 кВт; секционное исполнение с резервной секцией на чистку от гипсовых инкрустаций.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OVE75-RFQ-25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Plate heat exchangers (electrolyte heating and cooling).</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ОВЭ75-RFQ-25 / To RFQ No. OVE75-RFQ-25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Пластинчатые теплообменники (вне БИ)</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Подогрев бедного электролита 1500 кВт + холодильники электролита 2 × 2500 кВт; секционное исполнение с резервной секцией на чистку от гипсовых инкрустаций</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Система переключения каждой секции на промывку специальным раствором и водой; обходные линии для тонкого регулирования</w:t>
            </w:r>
          </w:p>
        </w:tc>
      </w:tr>
    </w:tbl>
    <w:p>
      <w:r>
        <w:rPr>
          <w:b/>
          <w:sz w:val="20"/>
        </w:rPr>
        <w:t xml:space="preserve">Состав позиции по перечню оборудования — Equipment covered by this request:</w:t>
      </w:r>
    </w:p>
    <w:p>
      <w:r>
        <w:rPr>
          <w:b/>
          <w:sz w:val="21"/>
        </w:rPr>
        <w:t xml:space="preserve">1. Теплообменник подогрева бедного электролита</w:t>
      </w:r>
      <w:r>
        <w:rPr>
          <w:color w:val="888888"/>
          <w:sz w:val="16"/>
        </w:rPr>
        <w:t xml:space="preserve">   Теплообмен (вне БИ) · поз. 4.1.17</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Назначение — Duty</w:t>
            </w:r>
          </w:p>
        </w:tc>
        <w:tc>
          <w:tcPr>
            <w:tcW w:w="6600" w:type="dxa"/>
          </w:tcPr>
          <w:p>
            <w:r>
              <w:rPr>
                <w:sz w:val="18"/>
              </w:rPr>
              <w:t xml:space="preserve">Подогрев оборотного раствора фильтратом от выщелачивания перед каскадом; пусковой подогрев паром</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Тепловая мощность 1240 кВт расч.; 50,0 → 59,4 °С по 124,7 м³/ч; 75,0 → 65,6 °С по 129,5 м³/ч</w:t>
            </w:r>
          </w:p>
        </w:tc>
      </w:tr>
      <w:tr>
        <w:tc>
          <w:tcPr>
            <w:tcW w:w="3038" w:type="dxa"/>
            <w:shd w:val="clear" w:fill="EFEFEF"/>
          </w:tcPr>
          <w:p>
            <w:r>
              <w:rPr>
                <w:b/>
                <w:sz w:val="18"/>
              </w:rPr>
              <w:t xml:space="preserve">Количество — Quantity</w:t>
            </w:r>
          </w:p>
        </w:tc>
        <w:tc>
          <w:tcPr>
            <w:tcW w:w="6600" w:type="dxa"/>
          </w:tcPr>
          <w:p>
            <w:r>
              <w:rPr>
                <w:sz w:val="18"/>
              </w:rPr>
              <w:t xml:space="preserve">1</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Hastelloy G-35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W = 1500 кВт; коэфф. запаса 1,2</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Пластинчатый секционный; резервная секция на посекционную чистку от гипсовых инкрустаций; обходные линии для тонкого регулирования</w:t>
            </w:r>
          </w:p>
        </w:tc>
      </w:tr>
    </w:tbl>
    <w:p>
      <w:r>
        <w:rPr>
          <w:b/>
          <w:sz w:val="21"/>
        </w:rPr>
        <w:t xml:space="preserve">2. Холодильник электролита пластинчатый</w:t>
      </w:r>
      <w:r>
        <w:rPr>
          <w:color w:val="888888"/>
          <w:sz w:val="16"/>
        </w:rPr>
        <w:t xml:space="preserve">   Циркуляция электролита · поз. 4.2.2</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Пластинчатый теплообменник, охлаждение водой</w:t>
            </w:r>
          </w:p>
        </w:tc>
      </w:tr>
      <w:tr>
        <w:tc>
          <w:tcPr>
            <w:tcW w:w="3038" w:type="dxa"/>
            <w:shd w:val="clear" w:fill="EFEFEF"/>
          </w:tcPr>
          <w:p>
            <w:r>
              <w:rPr>
                <w:b/>
                <w:sz w:val="18"/>
              </w:rPr>
              <w:t xml:space="preserve">Назначение — Duty</w:t>
            </w:r>
          </w:p>
        </w:tc>
        <w:tc>
          <w:tcPr>
            <w:tcW w:w="6600" w:type="dxa"/>
          </w:tcPr>
          <w:p>
            <w:r>
              <w:rPr>
                <w:sz w:val="18"/>
              </w:rPr>
              <w:t xml:space="preserve">Охлаждение богатого раствора перед подачей в ванны</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Тепловая мощность 3772 кВт расчётная; 50,0 → 48,2 °С по потоку 1634,5 м³/ч; 22,5 → 37,5 °С по воде 216,1 м³/ч</w:t>
            </w:r>
          </w:p>
        </w:tc>
      </w:tr>
      <w:tr>
        <w:tc>
          <w:tcPr>
            <w:tcW w:w="3038" w:type="dxa"/>
            <w:shd w:val="clear" w:fill="EFEFEF"/>
          </w:tcPr>
          <w:p>
            <w:r>
              <w:rPr>
                <w:b/>
                <w:sz w:val="18"/>
              </w:rPr>
              <w:t xml:space="preserve">Количество — Quantity</w:t>
            </w:r>
          </w:p>
        </w:tc>
        <w:tc>
          <w:tcPr>
            <w:tcW w:w="6600" w:type="dxa"/>
          </w:tcPr>
          <w:p>
            <w:r>
              <w:rPr>
                <w:sz w:val="18"/>
              </w:rPr>
              <w:t xml:space="preserve">2 (по числу серий)</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316L или аналог</w:t>
            </w:r>
          </w:p>
        </w:tc>
      </w:tr>
      <w:tr>
        <w:tc>
          <w:tcPr>
            <w:tcW w:w="3038" w:type="dxa"/>
            <w:shd w:val="clear" w:fill="EFEFEF"/>
          </w:tcPr>
          <w:p>
            <w:r>
              <w:rPr>
                <w:b/>
                <w:sz w:val="18"/>
              </w:rPr>
              <w:t xml:space="preserve">Габариты, НЗП — Dimensions, hold-up</w:t>
            </w:r>
          </w:p>
        </w:tc>
        <w:tc>
          <w:tcPr>
            <w:tcW w:w="6600" w:type="dxa"/>
          </w:tcPr>
          <w:p>
            <w:r>
              <w:rPr>
                <w:sz w:val="18"/>
              </w:rPr>
              <w:t xml:space="preserve">W = 2500 кВт на нитку; факт. 5000 кВт; коэфф. запаса 1,3</w:t>
            </w:r>
          </w:p>
        </w:tc>
      </w:tr>
      <w:tr>
        <w:tc>
          <w:tcPr>
            <w:tcW w:w="3038" w:type="dxa"/>
            <w:shd w:val="clear" w:fill="EFEFEF"/>
          </w:tcPr>
          <w:p>
            <w:r>
              <w:rPr>
                <w:b/>
                <w:sz w:val="18"/>
              </w:rPr>
              <w:t xml:space="preserve">Дополнительные требования — Additional requirements</w:t>
            </w:r>
          </w:p>
        </w:tc>
        <w:tc>
          <w:tcPr>
            <w:tcW w:w="6600" w:type="dxa"/>
          </w:tcPr>
          <w:p>
            <w:r>
              <w:rPr>
                <w:sz w:val="18"/>
              </w:rPr>
              <w:t xml:space="preserve">В состав БИ по Лоту №3 теплообменники не включаются (перечень «не в БИ»), но параметры заданы ИД</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25 hx</dc:title>
  <dc:creator>ООО «КВАНТ»</dc:creator>
  <cp:lastModifiedBy>ООО «КВАНТ»</cp:lastModifiedBy>
  <dcterms:created xsi:type="dcterms:W3CDTF">2026-09-02T09:00:00Z</dcterms:created>
  <dcterms:modified xsi:type="dcterms:W3CDTF">2026-09-02T09:00:00Z</dcterms:modified>
</cp:coreProperties>
</file>