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ОЛ-ОВЭ75-02</w:t>
      </w:r>
    </w:p>
    <w:p>
      <w:r>
        <w:rPr>
          <w:b/>
          <w:sz w:val="28"/>
        </w:rPr>
        <w:t xml:space="preserve">Котёл-утилизатор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Перепроектируется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Охлаждение и рекуперация тепла отходящего газа, улавливание «грубой»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Расход газа / параметры пара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30 000 нм³/ч; пар 1,9 МПа, 375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Тепловосприятие (осн./вспом.)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п.278-281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Паропроизводительность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п.282; проверочный расчёт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Годовая выдача пара (до РОУ)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п.267-268, 282;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Питательная вода (ХОВ)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26; табл. 23 п.269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 пылесборника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15 м³; НЗП в газоходе «печь КС – КУ» 50 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Углеродистая сталь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Гидроиспытание (ориентир)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ФНП № 536; окончательно — расчёт завода-изготовителя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Перепроектируется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Поверхности нагрева и компоновка (радиация/конвекция/экономайзер)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завода-изготовителя — по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Способ очистки поверхностей нагрева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мехобстукивание, термоволновая)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узлы учёта тепла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теплосчётчики пара КУ (вихревой расходомер с коррекцией по давлению и температуре), питательной воды и конденсата; предусмотреть прямые участки и штуцера в обвязке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бобышки поверхностных термопар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4–6 привариваемых бобышек под поверхностные термопары (тепловой баланс печи и КУ в реальном времени); установка в период строительства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обвязка РОУ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тройники и отсечная арматура байпаса под будущую противодавленческую машину 150–300 кВт; площадка 6×4 м с фундаментом, трасса 0,4 кВ и ячейка 0,4 кВ; РОУ остаётся 100 % резервом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2/14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kotel utilizator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