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ОЛ-ОВЭ75-11</w:t>
      </w:r>
    </w:p>
    <w:p>
      <w:r>
        <w:rPr>
          <w:b/>
          <w:sz w:val="28"/>
        </w:rPr>
        <w:t xml:space="preserve">Кран мостовой специальный (автоматический)</w:t>
      </w:r>
    </w:p>
    <w:p>
      <w:r>
        <w:rPr>
          <w:color w:val="666666"/>
          <w:sz w:val="18"/>
        </w:rPr>
        <w:t xml:space="preserve">Лот №3 · Электроэкстракция · участок: Подъёмно-транспортное · сформирован 02.09.2026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исходных данных и технического задания Заказчика и решений Базового инжиниринга; поля с пометкой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Специальные автоматические краны с системой позиционирования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2 (по одному на серию/пролёт)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 / модернизация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358 дней/год, 8585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Съём/установка колпаков, выгрузка катодов (1/3 ванны с равномерным шагом), транспортировка в КСМ и обратно, пошаговая установка матриц; ручной режим — замена анодов и чистка ванн от шлама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(по одному на серию/пролёт)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Грузоподъёмность / режим работы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шт.; Q ≈ 16–20 т; режим ≥ А6/М7; оснастка 316L; ИК-контроль КЗ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п. 4.2.2; расчёт нагрузок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Нагрузки (груз + траверса)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груз до 11,6 т (84 матрицы) + траверса 3–5 т; Q ориентировочно 16–20 т; ≈28 обслуживаний/сут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прил. В, п. 4.1.2; расчёт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 оснастки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Металлические элементы и оснастка — нерж. сталь 316L или аналог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Автоматика / функции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График выгрузки формируется в зависимости от плана-задания и токовой нагрузки; комплектуются бороной и поддоном для сбора проливов; рекомендуется система ИК-датчиков контроля контактного хозяйства и КЗ в ваннах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Пролёт корпуса (справочно)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× 8,645 = 17,29 м + проходы 1,8/1,4/1,5 м = 21,99 ≤ 22,0 м — помещается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расчёт; ИД п. 4.2.2; прил. В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Разграничение поставки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спецоснащение и автоматика — Лот №3; базовые краны — модернизация существующих ЦЭМ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 5.3; ИД п. 4.2.2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Испытания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освидетельствование ФНП № 461: статика 125 %, динамика 110 % грузоподъёмности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ФНП № 461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Примечание перечня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Рекомендуется использовать существующее подъёмно-транспортное оборудование ЦЭМ после модернизации (при необходимости)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 / модернизация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Пролёт крана, высота подъёма, скорости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Точность позиционирования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 (требование АСУ — автоматический график выгрузки)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тепловизионный модуль на мосту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Закладная площадка на мосту каждого из двух кранов, питание 24 В/PoE и канал связи (Wi-Fi либо оптика гибкого токоподвода) под тепловизионный модуль в термокожухе IP65 с продувкой; конструкция крана не меняется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15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резерв под измерительную балку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Конструктивный резерв под навесную измерительную балку: масса, питание, канал связи с тележки, посадочные места — вносится в заказ до выдачи запроса (кран — позиция длительного цикла)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2 п. 8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входы «зона занята»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Дублированные дискретные входы «зона занята» от калиток СКУД крановых зон; ограниченный режим либо останов крана в занятой зоне жёсткой релейно-контроллерной логикой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17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координаты для привязки измерений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Точность и повторяемость штатной системы позиционирования моста и тележки — как источника координат привязки термограмм и сканов к номеру ванны и паре электродов (84 пары)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15; разд. 2 п. 8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реперные точки в КД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Геодезические реперные марки и контрольные точки в КД крана и подкрановых путей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1.7 п. 43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инспекция рядов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состав обзорных камер и датчиков инспекции рядов между заданиями (переливы, состояние укрытий, тепло-/видеообзор) — по ТКП изготовителя</w:t>
            </w:r>
          </w:p>
        </w:tc>
      </w:tr>
    </w:tbl>
    <w:p>
      <w:r>
        <w:rPr>
          <w:color w:val="8A6200"/>
          <w:sz w:val="17"/>
        </w:rPr>
        <w:t xml:space="preserve">Заливкой отмечены поля «уточняется по ТКП» — их заполняет поставщик; остальные значения — исходные требования Заказчика (исходные данные, техническое задание)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 «уточняется по ТКП»)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перечень оборудования по исходным данным и техническому заданию Заказчика; инженерные решения Базового инжиниринга по Лот №3 · Электроэкстракция.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kran mostovoy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