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ОЛ-ОВЭ75-08</w:t>
      </w:r>
    </w:p>
    <w:p>
      <w:r>
        <w:rPr>
          <w:b/>
          <w:sz w:val="28"/>
        </w:rPr>
        <w:t xml:space="preserve">Выпарной аппарат (испаритель)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 (выпарной аппарат) · УУСС: испаритель EV-2 с выносным нагревателем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 (выпарной аппарат) · УУСС: испаритель EV-2 с принудительной циркуляцией, под доп. разрежением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Состав и 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рис. 4.4/4.5; табл. 4.1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Вакуумная кристаллизация медного (нитка 1) и смешанного медно-никелевого (нитка 2) купоросов, I/II ступени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4.1; поз. 4.1.1–4.1.24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материалу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4.2.1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разд. 4.1.4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Давления (разрежения)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Греющий пар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п. 1.3.13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Коэффициент теплопередачи (требуемый)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Крупность кристаллов / влажность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1)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V=34,5 м³, ρ=1,3 т/м³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от заполненного аппарата (нитка 2)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по V=8,9 м³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(см. «Компоновка»)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Контроль материала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ГОСТ 34233.1-2017; ФНП № 536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Циркуляционные насосы, сепараторы, КИП в комплекте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комплектной поставки — по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байпасы под плотномеры маточника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904L; замена прибора без останова нитки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контроль зарастания подогревателей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кислотостойкие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петли гранулометрии и смотровые штуцеры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со стёклами; питание 230 В и сетевые порты на этажерке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регулируемая отсечка и арматура пара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Диапазон отсечки на выпарку — регулируемый (не фиксированное значение); регулирующие клапаны греющего пара с позиционерами вместо отсечных; резервные гильзы температур по высоте аппарата; байпасные пробоотборные линии Ду25 с площадками под будущий поточный анализатор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10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№2 · Участок купоросов.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vyparnoy apparat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