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12370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12370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6"/>
        </w:rPr>
        <w:t xml:space="preserve">Перечень основного оборудования по лотам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570"/>
      </w:tblGrid>
      <w:tr>
        <w:tc>
          <w:tcPr>
            <w:tcW w:w="14570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исходных данных и технического задания Заказчика и решений Базового инжиниринга; поля с пометкой «уточняется по ТКП» заполняет поставщик в составе технико-коммерческого предложения.</w:t>
            </w:r>
          </w:p>
        </w:tc>
      </w:tr>
    </w:tbl>
    <w:p>
      <w:pPr>
        <w:pStyle w:val="Muted"/>
      </w:pPr>
      <w:r>
        <w:rPr>
          <w:color w:val="666666"/>
          <w:sz w:val="16"/>
        </w:rPr>
        <w:t xml:space="preserve">Сформировано 02.09.2026.</w:t>
      </w:r>
    </w:p>
    <w:p>
      <w:pPr>
        <w:pStyle w:val="Heading1"/>
      </w:pPr>
      <w:r>
        <w:t xml:space="preserve">Общие сведения</w:t>
      </w:r>
    </w:p>
    <w:p>
      <w:r>
        <w:rPr>
          <w:sz w:val="19"/>
        </w:rPr>
        <w:t xml:space="preserve">Перечень охватывает основное и вспомогательное технологическое оборудование комплекса по лотам. Для каждой позиции приведены наименование и модель по исходным данным Заказчика, ключевые параметры, количество и статус поставки. Полужирным выделены ключевые позиции, определяющие сроки и стоимость комплекса.</w:t>
      </w:r>
    </w:p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позиций 70 (Лот №1 — 27, №2 — 17, №3 — 14, №4 — 5, вне лотов — 7); ключевых 19.</w:t>
      </w:r>
    </w:p>
    <w:p>
      <w:r>
        <w:rPr>
          <w:b/>
          <w:color w:val="666666"/>
          <w:sz w:val="17"/>
        </w:rPr>
        <w:t xml:space="preserve">Источники: </w:t>
      </w:r>
      <w:r>
        <w:rPr>
          <w:color w:val="666666"/>
          <w:sz w:val="17"/>
        </w:rPr>
        <w:t xml:space="preserve">ИД ч.1 табл. 24 и раздел НЗП (Лот №1); ИД ч.2 табл. 4.1 и 4.2 (Лоты №2, №3); ТЗ на БИ v3.6 разделы 3.4, 4.4, 5.3, 6.3</w:t>
      </w:r>
    </w:p>
    <w:p>
      <w:r>
        <w:rPr>
          <w:b/>
          <w:color w:val="8A6200"/>
          <w:sz w:val="17"/>
        </w:rPr>
        <w:t xml:space="preserve">Нормализация: </w:t>
      </w:r>
      <w:r>
        <w:rPr>
          <w:color w:val="8A6200"/>
          <w:sz w:val="17"/>
        </w:rPr>
        <w:t xml:space="preserve">Марка стали циклона, электрофильтра и дымососов приведена как 12Х18Н10Т. В ИД ч.1 она четырежды напечатана как «12Х1812Т» (такой марки не существует) и один раз корректно — 12Х18Н10Т. При цитировании документов Заказчика используйте его написание, при запросе ТКП — нормализованное.</w:t>
      </w:r>
    </w:p>
    <w:p>
      <w:r>
        <w:rPr>
          <w:b/>
          <w:color w:val="666666"/>
          <w:sz w:val="17"/>
        </w:rPr>
        <w:t xml:space="preserve">Статусы позиций: </w:t>
      </w:r>
      <w:r>
        <w:rPr>
          <w:color w:val="666666"/>
          <w:sz w:val="17"/>
        </w:rPr>
        <w:t xml:space="preserve">«Закуп» — Позиция закупается серийной — есть рынок, нужны ТКП; «Изготовление» — Нестандартное изделие — нужен завод-изготовитель и задание на изготовление; «Перепроектируется» — Существующее решение требует переработки под новые параметры; «Наличие» — Часть оборудования уже есть у Заказчика; «Уточняется» — Количество/характеристики определяются на стадии ОТР</w:t>
      </w:r>
    </w:p>
    <w:p>
      <w:pPr>
        <w:pStyle w:val="Heading2"/>
      </w:pPr>
      <w:r>
        <w:t xml:space="preserve">Лот №1 · Цех обжига — 27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6"/>
              </w:rPr>
              <w:t xml:space="preserve">УКВ-320-Ц-60 / УКВ-200-Ц-60 / УКВ-200-Ц-37,5 / УКВ-320-Ц-95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Ширина ленты 400 мм, средняя длина 3000 мм, высота слоя 100 мм</w:t>
            </w:r>
          </w:p>
          <w:p>
            <w:r>
              <w:rPr>
                <w:sz w:val="17"/>
              </w:rPr>
              <w:t xml:space="preserve">Мощность: 3,4–30 кВт</w:t>
            </w:r>
          </w:p>
          <w:p>
            <w:r>
              <w:rPr>
                <w:sz w:val="17"/>
              </w:rPr>
              <w:t xml:space="preserve">Материал: Углеродистая сталь,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Часть в наличии</w:t>
            </w:r>
          </w:p>
          <w:p>
            <w:r>
              <w:rPr>
                <w:color w:val="666666"/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сталь, кислотоупорная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Ø320 L10000 и L1000 мм; под пыль КУ Ø360 L5000; циклона Ø360 L5000; электрофильтра Ø200 L5000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 и шихты, её содержащей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бункера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для обеспечения непрерывной работы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смену — 60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печи КС шихтой постоянного состава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6"/>
              </w:rPr>
              <w:t xml:space="preserve">ZC-300 / ZC-800 / ZC-1200 / ZC-1500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ZC-300 до 3,6 т/ч; ZC-800 до 8 т/ч; ZC-1200 до 18 т/ч; ZC-1500 до 22 т/ч</w:t>
            </w:r>
          </w:p>
          <w:p>
            <w:r>
              <w:rPr>
                <w:sz w:val="17"/>
              </w:rPr>
              <w:t xml:space="preserve">Габариты/НЗП: Концентрат Ø1200 Н100; кек Ø800 Н100; медь Ø300 Н100; оборотные Ø300 Н100 мм</w:t>
            </w:r>
          </w:p>
          <w:p>
            <w:r>
              <w:rPr>
                <w:sz w:val="17"/>
              </w:rPr>
              <w:t xml:space="preserve">Мощность: 0,75–3 кВт</w:t>
            </w:r>
          </w:p>
          <w:p>
            <w:r>
              <w:rPr>
                <w:sz w:val="17"/>
              </w:rPr>
              <w:t xml:space="preserve">Материал: ZC-300 (цементная медь) и ZC-1500 (шихта) — нержавеющая сталь; остальные — углеродистая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2×ZC-300, 1×ZC-800, 1×ZC-1200, 2×ZC-1500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1.08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Дозатор ленточный</w:t>
            </w:r>
          </w:p>
          <w:p>
            <w:r>
              <w:rPr>
                <w:color w:val="666666"/>
                <w:sz w:val="16"/>
              </w:rPr>
              <w:t xml:space="preserve">4488 ДН-У-1-X-40-1800-0-0.X (X = 3,2; 4; 5; 16; 25)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индексу X: до 3,2 / 4 / 5 / 16 / 25 т/ч</w:t>
            </w:r>
          </w:p>
          <w:p>
            <w:r>
              <w:rPr>
                <w:sz w:val="17"/>
              </w:rPr>
              <w:t xml:space="preserve">Габариты/НЗП: Лента 500 мм, погонная нагрузка 40 кг/м</w:t>
            </w:r>
          </w:p>
          <w:p>
            <w:r>
              <w:rPr>
                <w:sz w:val="17"/>
              </w:rPr>
              <w:t xml:space="preserve">Мощность: 0,55–1,5 кВт</w:t>
            </w:r>
          </w:p>
          <w:p>
            <w:r>
              <w:rPr>
                <w:sz w:val="17"/>
              </w:rPr>
              <w:t xml:space="preserve">Материал: 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шт. на X=3,2; 4; 5; 16 и 2 шт. на X=25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смеситель</w:t>
            </w:r>
          </w:p>
          <w:p>
            <w:r>
              <w:rPr>
                <w:color w:val="666666"/>
                <w:sz w:val="16"/>
              </w:rPr>
              <w:t xml:space="preserve">СШ-25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10–25 т/ч</w:t>
            </w:r>
          </w:p>
          <w:p>
            <w:r>
              <w:rPr>
                <w:sz w:val="17"/>
              </w:rPr>
              <w:t xml:space="preserve">Габариты/НЗП: Рабочий объём 3,8 м³</w:t>
            </w:r>
          </w:p>
          <w:p>
            <w:r>
              <w:rPr>
                <w:sz w:val="17"/>
              </w:rPr>
              <w:t xml:space="preserve">Мощность: 37 кВт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шихты для обжига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20 т/ч</w:t>
            </w:r>
          </w:p>
          <w:p>
            <w:r>
              <w:rPr>
                <w:sz w:val="17"/>
              </w:rPr>
              <w:t xml:space="preserve">Габариты/НЗП: Ø150, L1500 мм</w:t>
            </w:r>
          </w:p>
          <w:p>
            <w:r>
              <w:rPr>
                <w:sz w:val="17"/>
              </w:rPr>
              <w:t xml:space="preserve">Мощность: 3,5 кВт</w:t>
            </w:r>
          </w:p>
          <w:p>
            <w:r>
              <w:rPr>
                <w:sz w:val="17"/>
              </w:rPr>
              <w:t xml:space="preserve">Материал: Нержавеющая жаропрочная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6"/>
              </w:rPr>
              <w:t xml:space="preserve">ГМ-4,5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6"/>
              </w:rPr>
              <w:t xml:space="preserve">МГМГ-10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940 кг/ч по мазуту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Печь кипящего слоя (КС)</w:t>
            </w:r>
          </w:p>
          <w:p>
            <w:r>
              <w:rPr>
                <w:color w:val="666666"/>
                <w:sz w:val="16"/>
              </w:rPr>
              <w:t xml:space="preserve">Характеристики по ИД ч.1 табл. 23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10–16 т/ч</w:t>
            </w:r>
          </w:p>
          <w:p>
            <w:r>
              <w:rPr>
                <w:sz w:val="17"/>
              </w:rPr>
              <w:t xml:space="preserve">Габариты/НЗП: Единомоментное количество огарка в печи — 139,0 т</w:t>
            </w:r>
          </w:p>
          <w:p>
            <w:r>
              <w:rPr>
                <w:sz w:val="17"/>
              </w:rPr>
              <w:t xml:space="preserve">Материал: 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Окислительный обжиг шихты на основе медного концентрата ОРФ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псевдоожиженного слоя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Мощность: 1,0 кВт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Регулирование газового тракта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Котёл-утилизатор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30 000 нм³/ч; пар 1,9 МПа, 375 °С</w:t>
            </w:r>
          </w:p>
          <w:p>
            <w:r>
              <w:rPr>
                <w:sz w:val="17"/>
              </w:rPr>
              <w:t xml:space="preserve">Габариты/НЗП: Объём бункера пылесборника 15 м³; НЗП в газоходе «печь КС – КУ» 50 т пыли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Перепроектируется</w:t>
            </w:r>
          </w:p>
          <w:p>
            <w:r>
              <w:rPr>
                <w:color w:val="666666"/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</w:t>
            </w:r>
          </w:p>
          <w:p>
            <w:r>
              <w:rPr>
                <w:color w:val="666666"/>
                <w:sz w:val="16"/>
              </w:rPr>
              <w:t xml:space="preserve">СЦН-50-1800×1УП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32 000 м³/ч</w:t>
            </w:r>
          </w:p>
          <w:p>
            <w:r>
              <w:rPr>
                <w:sz w:val="17"/>
              </w:rPr>
              <w:t xml:space="preserve">Габариты/НЗП: Объём бункера пылесборника 8,5 м³; НЗП в газоходе «КУ – циклон» 50 т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Сухой электрофильтр</w:t>
            </w:r>
          </w:p>
          <w:p>
            <w:r>
              <w:rPr>
                <w:color w:val="666666"/>
                <w:sz w:val="16"/>
              </w:rPr>
              <w:t xml:space="preserve">УГТ1-20-4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57 600 м³/ч; электропитание 80 кВ</w:t>
            </w:r>
          </w:p>
          <w:p>
            <w:r>
              <w:rPr>
                <w:sz w:val="17"/>
              </w:rPr>
              <w:t xml:space="preserve">Габариты/НЗП: Объём бункера пылесборника 10 м³; НЗП в газоходе «циклон – ЭФ» 10 т</w:t>
            </w:r>
          </w:p>
          <w:p>
            <w:r>
              <w:rPr>
                <w:sz w:val="17"/>
              </w:rPr>
              <w:t xml:space="preserve">Мощность: 0,4×80 кВ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1.19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Дымосос</w:t>
            </w:r>
          </w:p>
          <w:p>
            <w:r>
              <w:rPr>
                <w:color w:val="666666"/>
                <w:sz w:val="16"/>
              </w:rPr>
              <w:t xml:space="preserve">ДН-15БНЖ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78 000 м³/ч</w:t>
            </w:r>
          </w:p>
          <w:p>
            <w:r>
              <w:rPr>
                <w:sz w:val="17"/>
              </w:rPr>
              <w:t xml:space="preserve">Мощность: 400 кВт, 6000 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6"/>
              </w:rPr>
              <w:t xml:space="preserve">D2424-6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15 т/ч; оборотная вода 176,9 т/ч (0,6 МПа, 25→35 °С)</w:t>
            </w:r>
          </w:p>
          <w:p>
            <w:r>
              <w:rPr>
                <w:sz w:val="17"/>
              </w:rPr>
              <w:t xml:space="preserve">Габариты/НЗП: 2 шнека Ø610, L7315 мм</w:t>
            </w:r>
          </w:p>
          <w:p>
            <w:r>
              <w:rPr>
                <w:sz w:val="17"/>
              </w:rPr>
              <w:t xml:space="preserve">Мощность: 15 кВт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огарка и пыли КУ и одиночного циклона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6"/>
              </w:rPr>
              <w:t xml:space="preserve">S710-4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 т/ч; оборотная вода 2,197 т/ч</w:t>
            </w:r>
          </w:p>
          <w:p>
            <w:r>
              <w:rPr>
                <w:sz w:val="17"/>
              </w:rPr>
              <w:t xml:space="preserve">Габариты/НЗП: 1 шнек Ø187, L3048 мм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пыли электрофильтра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 и откачка фильтрата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Рукавный фильтр(ы)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аспирационных газов от оборудования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Дымосос(ы)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</w:tr>
    </w:tbl>
    <w:p>
      <w:pPr>
        <w:pStyle w:val="Heading2"/>
      </w:pPr>
      <w:r>
        <w:t xml:space="preserve">Лот №2 · Участок купоросов — 17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выносным нагревателем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оборотного медного купороса, I ступень</w:t>
            </w:r>
          </w:p>
          <w:p>
            <w:r>
              <w:rPr>
                <w:color w:val="444444"/>
                <w:sz w:val="16"/>
              </w:rPr>
              <w:t xml:space="preserve">Обогрев глухим паром, t = 40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принудительной циркуляцией, под доп. разрежением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3,0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медного купороса, II ступень</w:t>
            </w:r>
          </w:p>
          <w:p>
            <w:r>
              <w:rPr>
                <w:color w:val="444444"/>
                <w:sz w:val="16"/>
              </w:rPr>
              <w:t xml:space="preserve">t = 20 °С; работа за счёт более глубокого разрежения от парового эжектора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глубокого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3,24 т/ч; Q расч. 4,5 т/ч; P = 0,075 атм (55 мм рт. ст.)</w:t>
            </w:r>
          </w:p>
          <w:p>
            <w:r>
              <w:rPr>
                <w:sz w:val="17"/>
              </w:rPr>
              <w:t xml:space="preserve">Габариты/НЗП: коэфф. запаса 1,4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(реактор с мешалкой)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2,5 м³/ч; расч. 1,27 м³</w:t>
            </w:r>
          </w:p>
          <w:p>
            <w:r>
              <w:rPr>
                <w:sz w:val="17"/>
              </w:rPr>
              <w:t xml:space="preserve">Габариты/НЗП: V = 2,5 м³; факт. 2,0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медного купороса перед центрифугой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1,39 м³/ч; расч. 0,69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обогревается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1,70 т/ч; Q расч. 2,5 т/ч</w:t>
            </w:r>
          </w:p>
          <w:p>
            <w:r>
              <w:rPr>
                <w:sz w:val="17"/>
              </w:rPr>
              <w:t xml:space="preserve">Габариты/НЗП: коэфф. запаса 1,5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кристаллов медного купороса, I стадия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6"/>
              </w:rPr>
              <w:t xml:space="preserve">Два последовательных аппарата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1,0 ч; поток 5,93 м³/ч</w:t>
            </w:r>
          </w:p>
          <w:p>
            <w:r>
              <w:rPr>
                <w:sz w:val="17"/>
              </w:rPr>
              <w:t xml:space="preserve">Габариты/НЗП: V = 5,0 м³; факт. 8,0 м³; коэфф. запаса 1,3</w:t>
            </w:r>
          </w:p>
          <w:p>
            <w:r>
              <w:rPr>
                <w:sz w:val="17"/>
              </w:rPr>
              <w:t xml:space="preserve">Материал: Сталь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Растворение медного купороса в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sz w:val="17"/>
              </w:rPr>
              <w:t xml:space="preserve">Габариты/НЗП: D = 1,3 м; коэфф. запаса 1,7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  <w:p>
            <w:r>
              <w:rPr>
                <w:color w:val="444444"/>
                <w:sz w:val="16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5530 м³/ч; расч. D 0,25 м</w:t>
            </w:r>
          </w:p>
          <w:p>
            <w:r>
              <w:rPr>
                <w:sz w:val="17"/>
              </w:rPr>
              <w:t xml:space="preserve">Габариты/НЗП: D = 1,3 м; коэфф. запаса 5,3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69 кг/ч по соковому пару; Q расч. 90 кг/ч; P = 0,013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9,1 т/ч; Q расч. 12,0 т/ч; P = 0,075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 2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12,0 ч; поток 0,80 м³/ч; расч. 9,64 м³</w:t>
            </w:r>
          </w:p>
          <w:p>
            <w:r>
              <w:rPr>
                <w:sz w:val="17"/>
              </w:rPr>
              <w:t xml:space="preserve">Габариты/НЗП: V = 16,0 м³; факт. 12,8 м³;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1,2 м³/ч; расч. 0,60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смешанного купороса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0,80 т/ч; Q расч. 1,5 т/ч</w:t>
            </w:r>
          </w:p>
          <w:p>
            <w:r>
              <w:rPr>
                <w:sz w:val="17"/>
              </w:rPr>
              <w:t xml:space="preserve">Габариты/НЗП: коэфф. запаса 1,9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и промывка кристаллов смешанного купороса, II стадия</w:t>
            </w:r>
          </w:p>
          <w:p>
            <w:r>
              <w:rPr>
                <w:color w:val="444444"/>
                <w:sz w:val="16"/>
              </w:rPr>
              <w:t xml:space="preserve">Промывка первичным раствором из бака поз. 4.1.22; фугат — на II ступень выпарки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поз. 6 рис. 4.4/4.5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6"/>
              </w:rPr>
              <w:t xml:space="preserve">Эжектор + конденсатор ПЭБ + вакуум-насос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на нитку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Обеспечение вакуума в конденсаторе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2.17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Остаточная влажность купороса 4–6 %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Фасовка в биг-беги с ПЭ-вкладышем, пробоотбор, весовой учёт</w:t>
            </w:r>
          </w:p>
        </w:tc>
      </w:tr>
    </w:tbl>
    <w:p>
      <w:pPr>
        <w:pStyle w:val="Heading2"/>
      </w:pPr>
      <w:r>
        <w:t xml:space="preserve">Лот №3 · Электроэкстракция — 14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6"/>
              </w:rPr>
              <w:t xml:space="preserve">Бак с перегородкой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0,25 ч; поток 1634,5 м³/ч; расч. 408,6 м³</w:t>
            </w:r>
          </w:p>
          <w:p>
            <w:r>
              <w:rPr>
                <w:sz w:val="17"/>
              </w:rPr>
              <w:t xml:space="preserve">Габариты/НЗП: V = 300,0 м³ на нитку; факт. 510,0 м³; коэфф. запаса 1,2</w:t>
            </w:r>
          </w:p>
          <w:p>
            <w:r>
              <w:rPr>
                <w:sz w:val="17"/>
              </w:rPr>
              <w:t xml:space="preserve">Материал: 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6"/>
              </w:rPr>
              <w:t xml:space="preserve">Пластинчатый теплообменник, охлаждение водой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sz w:val="17"/>
              </w:rPr>
              <w:t xml:space="preserve">Габариты/НЗП: W = 2500 кВт на нитку; факт. 5000 кВт; коэфф. запаса 1,3</w:t>
            </w:r>
          </w:p>
          <w:p>
            <w:r>
              <w:rPr>
                <w:sz w:val="17"/>
              </w:rPr>
              <w:t xml:space="preserve">Материал: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богатого раствора перед подачей в ванны</w:t>
            </w:r>
          </w:p>
          <w:p>
            <w:r>
              <w:rPr>
                <w:color w:val="444444"/>
                <w:sz w:val="16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Электролизная ванна</w:t>
            </w:r>
          </w:p>
          <w:p>
            <w:r>
              <w:rPr>
                <w:color w:val="666666"/>
                <w:sz w:val="16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sz w:val="17"/>
              </w:rPr>
              <w:t xml:space="preserve">Габариты/НЗП: Внутренние габариты 8485 × 1155 × 1650 мм (Д×Ш×В); 84 катода, 85 анодов</w:t>
            </w:r>
          </w:p>
          <w:p>
            <w:r>
              <w:rPr>
                <w:sz w:val="17"/>
              </w:rPr>
              <w:t xml:space="preserve">Материал: Полимербетон (монолитный винилэфирный композит)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Электроэкстракция меди из растворов</w:t>
            </w:r>
          </w:p>
          <w:p>
            <w:r>
              <w:rPr>
                <w:color w:val="444444"/>
                <w:sz w:val="16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6"/>
              </w:rPr>
              <w:t xml:space="preserve">Pb-Ca / Pb-Ag сплавы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85 анодов на ванну; расход 2300 шт./год (0,033 шт. на т Cu)</w:t>
            </w:r>
          </w:p>
          <w:p>
            <w:r>
              <w:rPr>
                <w:sz w:val="17"/>
              </w:rPr>
              <w:t xml:space="preserve">Материал: Свинцовый сплав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85 = 15 300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Аноды ванн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6"/>
              </w:rPr>
              <w:t xml:space="preserve">Система SPLIT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84 = 15 120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Матрицы для наращивания катодной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6"/>
              </w:rPr>
              <w:t xml:space="preserve">Бортовой отсос + легкосъёмный колпак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  <w:p>
            <w:r>
              <w:rPr>
                <w:sz w:val="17"/>
              </w:rPr>
              <w:t xml:space="preserve">Материал: Коррозионностойкое исполнение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комплектов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3.07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Ошиновка ванн</w:t>
            </w:r>
          </w:p>
          <w:p>
            <w:r>
              <w:rPr>
                <w:color w:val="666666"/>
                <w:sz w:val="16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Материал: Медь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 на 180 ванн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6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sz w:val="17"/>
              </w:rPr>
              <w:t xml:space="preserve">Габариты/НЗП: 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  <w:p>
            <w:r>
              <w:rPr>
                <w:sz w:val="17"/>
              </w:rPr>
              <w:t xml:space="preserve">Материал: Конструкционная и нержавеющая сталь, ПВХ, полипропилен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  <w:p>
            <w:r>
              <w:rPr>
                <w:color w:val="444444"/>
                <w:sz w:val="16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формирования пакетов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1400–2000 кг (сбыт требует 2500 ± 50 кг)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Полипропиленовый профиль — расход 2770 кг/год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Нанесение изоляции кромок катодных матриц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sz w:val="17"/>
              </w:rPr>
              <w:t xml:space="preserve">Материал: Металлические элементы и оснастка — нерж.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 / модернизация</w:t>
            </w:r>
          </w:p>
          <w:p>
            <w:r>
              <w:rPr>
                <w:color w:val="666666"/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  <w:p>
            <w:r>
              <w:rPr>
                <w:color w:val="444444"/>
                <w:sz w:val="16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Передача пакетов в помещение склада готовой продукции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обеспечивает работу от каждой ≥12 ч; тихоходные рамные мешалки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(поочерёдно работающие)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Выпрямители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250 В (max) / 227 В (ном); I = 47,0 кА; коэфф. запаса 1,10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 по Лоту №3 (перечень «не включается»)</w:t>
            </w:r>
          </w:p>
          <w:p>
            <w:r>
              <w:rPr>
                <w:color w:val="666666"/>
                <w:sz w:val="16"/>
              </w:rPr>
              <w:t xml:space="preserve">Питание серий ванн постоянным током</w:t>
            </w:r>
          </w:p>
        </w:tc>
      </w:tr>
    </w:tbl>
    <w:p>
      <w:pPr>
        <w:pStyle w:val="Heading2"/>
      </w:pPr>
      <w:r>
        <w:t xml:space="preserve">Лот №4 · Склад готовой продукции — 5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защитной упаковки медных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Исключить материалы, требующие особой сертификации или утилизации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Защитная упаковка пакетов катодов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Маркировка партий и подготовка к отгрузке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Автоматическая отгрузка сформированных партий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</w:tr>
    </w:tbl>
    <w:p>
      <w:pPr>
        <w:pStyle w:val="Heading2"/>
      </w:pPr>
      <w:r>
        <w:t xml:space="preserve">Вне лотов · стыки границ (справочно) — 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4.1.10, 4.1.11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Головные реакторы-репульпаторы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0,05 ч; поток 124,7 м³/ч; расч. 6,2 м³</w:t>
            </w:r>
          </w:p>
          <w:p>
            <w:r>
              <w:rPr>
                <w:sz w:val="17"/>
              </w:rPr>
              <w:t xml:space="preserve">Габариты/НЗП: V = 10,0 м³; факт. 16 м³; коэфф. запаса 2,6</w:t>
            </w:r>
          </w:p>
          <w:p>
            <w:r>
              <w:rPr>
                <w:sz w:val="17"/>
              </w:rPr>
              <w:t xml:space="preserve">Материал: Hastelloy G-35 (Haynes Int.) или аналог; допустима сталь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4.1.12–4.1.14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Основные реакторы каскада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2,0 ч; поток 124,7 м³/ч; расч. 249,5 м³</w:t>
            </w:r>
          </w:p>
          <w:p>
            <w:r>
              <w:rPr>
                <w:sz w:val="17"/>
              </w:rPr>
              <w:t xml:space="preserve">Габариты/НЗП: V = 90 м³; факт. 288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Основное выщелачивание огарка в оборотном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Буферный реактор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расч. 62,4 м³</w:t>
            </w:r>
          </w:p>
          <w:p>
            <w:r>
              <w:rPr>
                <w:sz w:val="17"/>
              </w:rPr>
              <w:t xml:space="preserve">Габариты/НЗП: V = 90 м³; факт. 72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Буфер перед сгустителем; приём пульпы фильтра контрольной фильтрации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Сгуститель остатка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12,0 кг/(м²·ч); поток 1717,1 кг/ч; расч. 143,1 м²</w:t>
            </w:r>
          </w:p>
          <w:p>
            <w:r>
              <w:rPr>
                <w:sz w:val="17"/>
              </w:rPr>
              <w:t xml:space="preserve">Габариты/НЗП: D = 15 м; факт. 176,6 м²; коэфф. запаса 1,2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Сгущение остатка выщелачивания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4.1.20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Намывные фильтры контрольной фильтрации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sz w:val="17"/>
              </w:rPr>
              <w:t xml:space="preserve">Габариты/НЗП: S = 120 м²; факт. 360 м²;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  <w:p>
            <w:r>
              <w:rPr>
                <w:color w:val="444444"/>
                <w:sz w:val="16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Теплообменник подогрева бедного электролита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sz w:val="17"/>
              </w:rPr>
              <w:t xml:space="preserve">Габариты/НЗП: W = 1500 кВт;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  <w:p>
            <w:r>
              <w:rPr>
                <w:color w:val="444444"/>
                <w:sz w:val="16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Мембранный фильтр-пресс песков сгустителя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145,3 кг/(м²·ч); поток 1693,5 кг/ч; расч. 11,7 м²</w:t>
            </w:r>
          </w:p>
          <w:p>
            <w:r>
              <w:rPr>
                <w:sz w:val="17"/>
              </w:rPr>
              <w:t xml:space="preserve">Габариты/НЗП: S = 8,0 м²; факт. 16,0 м²; глубина камеры 50 мм; коэфф. запаса 1,4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Фильтрация и промывка песков сгустителя</w:t>
            </w:r>
          </w:p>
        </w:tc>
      </w:tr>
    </w:tbl>
    <w:p>
      <w:pPr>
        <w:pStyle w:val="Heading1"/>
      </w:pPr>
      <w:r>
        <w:t xml:space="preserve">Открытые позиции</w:t>
      </w:r>
    </w:p>
    <w:p>
      <w:r>
        <w:rPr>
          <w:sz w:val="19"/>
        </w:rPr>
        <w:t xml:space="preserve">— Количество по 6 позициям указано как уточняемое: определяется на стадии БИ по результатам технологических расчётов и компоновочных решений.</w:t>
      </w:r>
    </w:p>
    <w:p>
      <w:r>
        <w:rPr>
          <w:sz w:val="19"/>
        </w:rPr>
        <w:t xml:space="preserve">— По 5 позициям технические характеристики в исходных данных не заданы: состав и параметры определяются на стадии БИ и уточняются по техническим предложениям изготовителей.</w:t>
      </w:r>
    </w:p>
    <w:p>
      <w:r>
        <w:rPr>
          <w:sz w:val="19"/>
        </w:rPr>
        <w:t xml:space="preserve">— Материальное исполнение позиций, контактирующих с сернокислыми растворами и сернистыми газами, подтверждается изготовителем в составе технико-коммерческого предложения.</w:t>
      </w:r>
    </w:p>
    <w:p>
      <w:r>
        <w:rPr>
          <w:sz w:val="19"/>
        </w:rPr>
        <w:t xml:space="preserve">— Позиции со статусом «Вне БИ» приведены справочно — для увязки границ проектирования; их состав и параметры определяются на последующих стадиях.</w:t>
      </w:r>
    </w:p>
    <w:p>
      <w:r>
        <w:rPr>
          <w:sz w:val="19"/>
        </w:rPr>
        <w:t xml:space="preserve">— Позиции со статусом «Перепроектируется» и «Часть в наличии» требуют подтверждения Заказчиком фактического состояния существующего оборудования.</w:t>
      </w:r>
    </w:p>
    <w:p>
      <w:pPr>
        <w:pStyle w:val="Muted"/>
      </w:pPr>
      <w:r>
        <w:rPr>
          <w:color w:val="666666"/>
          <w:sz w:val="17"/>
        </w:rPr>
        <w:t xml:space="preserve">Опросные листы по ключевым классам оборудования выпускаются отдельными документами Базового инжиниринга.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perechen oborudovaniya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