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ОВЭ75-RFQ-09</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Мазутные горелки ГМ-4,5 и МГМГ-10.</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ГМ-4,5 до 464 кг/ч (подогрев дутья); МГМГ-10 до 940 кг/ч, 3 шт. (разогрев печи).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OVE75-RFQ-09</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Fuel-oil burners (blast preheating and furnace heat-up).</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ОВЭ75-RFQ-09 / To RFQ No. OVE75-RFQ-09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Мазутные горелки ГМ-4,5 и МГМГ-10</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ГМ-4,5 до 464 кг/ч (подогрев дутья); МГМГ-10 до 940 кг/ч, 3 шт. (разогрев печи)</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Коэффициент рабочего регулирования тепловой мощности</w:t>
            </w:r>
          </w:p>
        </w:tc>
      </w:tr>
    </w:tbl>
    <w:p>
      <w:r>
        <w:rPr>
          <w:b/>
          <w:sz w:val="20"/>
        </w:rPr>
        <w:t xml:space="preserve">Состав позиции по перечню оборудования — Equipment covered by this request:</w:t>
      </w:r>
    </w:p>
    <w:p>
      <w:r>
        <w:rPr>
          <w:b/>
          <w:sz w:val="21"/>
        </w:rPr>
        <w:t xml:space="preserve">1. Мазутная горелка (подогрев дутья)</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ГМ-4,5</w:t>
            </w:r>
          </w:p>
        </w:tc>
      </w:tr>
      <w:tr>
        <w:tc>
          <w:tcPr>
            <w:tcW w:w="3038" w:type="dxa"/>
            <w:shd w:val="clear" w:fill="EFEFEF"/>
          </w:tcPr>
          <w:p>
            <w:r>
              <w:rPr>
                <w:b/>
                <w:sz w:val="18"/>
              </w:rPr>
              <w:t xml:space="preserve">Назначение — Duty</w:t>
            </w:r>
          </w:p>
        </w:tc>
        <w:tc>
          <w:tcPr>
            <w:tcW w:w="6600" w:type="dxa"/>
          </w:tcPr>
          <w:p>
            <w:r>
              <w:rPr>
                <w:sz w:val="18"/>
              </w:rPr>
              <w:t xml:space="preserve">Подогрев дутья перед подачей в печь КС (вспомогательный вариант)</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464 кг/ч по мазуту; коэффициент рабочего регулирования тепловой мощности</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bl>
    <w:p>
      <w:r>
        <w:rPr>
          <w:b/>
          <w:sz w:val="21"/>
        </w:rPr>
        <w:t xml:space="preserve">2. Мазутная горелка (разогрев печи)</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МГМГ-10</w:t>
            </w:r>
          </w:p>
        </w:tc>
      </w:tr>
      <w:tr>
        <w:tc>
          <w:tcPr>
            <w:tcW w:w="3038" w:type="dxa"/>
            <w:shd w:val="clear" w:fill="EFEFEF"/>
          </w:tcPr>
          <w:p>
            <w:r>
              <w:rPr>
                <w:b/>
                <w:sz w:val="18"/>
              </w:rPr>
              <w:t xml:space="preserve">Назначение — Duty</w:t>
            </w:r>
          </w:p>
        </w:tc>
        <w:tc>
          <w:tcPr>
            <w:tcW w:w="6600" w:type="dxa"/>
          </w:tcPr>
          <w:p>
            <w:r>
              <w:rPr>
                <w:sz w:val="18"/>
              </w:rPr>
              <w:t xml:space="preserve">Подогрев огарка в печи КС после продолжительной остановки на ремонт</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940 кг/ч по мазуту</w:t>
            </w:r>
          </w:p>
        </w:tc>
      </w:tr>
      <w:tr>
        <w:tc>
          <w:tcPr>
            <w:tcW w:w="3038" w:type="dxa"/>
            <w:shd w:val="clear" w:fill="EFEFEF"/>
          </w:tcPr>
          <w:p>
            <w:r>
              <w:rPr>
                <w:b/>
                <w:sz w:val="18"/>
              </w:rPr>
              <w:t xml:space="preserve">Количество — Quantity</w:t>
            </w:r>
          </w:p>
        </w:tc>
        <w:tc>
          <w:tcPr>
            <w:tcW w:w="6600" w:type="dxa"/>
          </w:tcPr>
          <w:p>
            <w:r>
              <w:rPr>
                <w:sz w:val="18"/>
              </w:rPr>
              <w:t xml:space="preserve">3</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09 burner</dc:title>
  <dc:creator>ООО «КВАНТ»</dc:creator>
  <cp:lastModifiedBy>ООО «КВАНТ»</cp:lastModifiedBy>
  <dcterms:created xsi:type="dcterms:W3CDTF">2026-08-28T09:00:00Z</dcterms:created>
  <dcterms:modified xsi:type="dcterms:W3CDTF">2026-08-28T09:00:00Z</dcterms:modified>
</cp:coreProperties>
</file>