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Core" Type="http://schemas.openxmlformats.org/package/2006/relationships/metadata/core-properties" Target="docProps/core.xml"/><Relationship Id="rIdApp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240" w:after="40"/>
        <w:jc w:val="center"/>
      </w:pPr>
      <w:r>
        <w:rPr>
          <w:rFonts w:ascii="Arial" w:hAnsi="Arial" w:cs="Arial"/>
          <w:b/>
          <w:sz w:val="28"/>
          <w:szCs w:val="28"/>
        </w:rPr>
        <w:t xml:space="preserve">ООО «КВАНТ»</w:t>
      </w:r>
    </w:p>
    <w:p>
      <w:pPr>
        <w:spacing w:before="0" w:after="60"/>
        <w:jc w:val="center"/>
      </w:pPr>
      <w:r>
        <w:rPr>
          <w:rFonts w:ascii="Arial" w:hAnsi="Arial" w:cs="Arial"/>
          <w:color w:val="555555"/>
          <w:sz w:val="18"/>
          <w:szCs w:val="18"/>
        </w:rPr>
        <w:t xml:space="preserve">инжиниринг · поставка · сопровождение проектов</w:t>
      </w:r>
    </w:p>
    <w:p>
      <w:pPr>
        <w:spacing w:before="0" w:after="0"/>
      </w:pPr>
      <w:r>
        <w:rPr>
          <w:rFonts w:ascii="Arial" w:hAnsi="Arial" w:cs="Arial"/>
          <w:sz w:val="8"/>
          <w:szCs w:val="8"/>
        </w:rPr>
        <w:t xml:space="preserve"/>
      </w:r>
    </w:p>
    <w:tbl>
      <w:tblPr>
        <w:tblW w:w="9636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80" w:type="dxa"/>
          <w:right w:w="80" w:type="dxa"/>
        </w:tblCellMar>
      </w:tblPr>
      <w:tblGrid>
        <w:gridCol w:w="9636"/>
      </w:tblGrid>
      <w:tr>
        <w:tc>
          <w:tcPr>
            <w:tcW w:w="9636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</w:tcPr>
          <w:p/>
        </w:tc>
      </w:tr>
    </w:tbl>
    <w:p>
      <w:pPr>
        <w:spacing w:before="0" w:after="600"/>
      </w:pPr>
      <w:r>
        <w:rPr>
          <w:rFonts w:ascii="Arial" w:hAnsi="Arial" w:cs="Arial"/>
          <w:sz w:val="8"/>
          <w:szCs w:val="8"/>
        </w:rPr>
        <w:t xml:space="preserve"/>
      </w:r>
    </w:p>
    <w:p>
      <w:pPr>
        <w:spacing w:before="0" w:after="80"/>
        <w:jc w:val="center"/>
      </w:pPr>
      <w:r>
        <w:rPr>
          <w:rFonts w:ascii="Arial" w:hAnsi="Arial" w:cs="Arial"/>
          <w:color w:val="555555"/>
          <w:sz w:val="20"/>
          <w:szCs w:val="20"/>
        </w:rPr>
        <w:t xml:space="preserve">Заказчик: </w:t>
      </w:r>
      <w:r>
        <w:rPr>
          <w:rFonts w:ascii="Arial" w:hAnsi="Arial" w:cs="Arial"/>
          <w:sz w:val="20"/>
          <w:szCs w:val="20"/>
        </w:rPr>
        <w:t xml:space="preserve">АО «Кольская ГМК»</w:t>
      </w:r>
    </w:p>
    <w:p>
      <w:pPr>
        <w:spacing w:before="0" w:after="80"/>
        <w:jc w:val="center"/>
      </w:pPr>
      <w:r>
        <w:rPr>
          <w:rFonts w:ascii="Arial" w:hAnsi="Arial" w:cs="Arial"/>
          <w:sz w:val="20"/>
          <w:szCs w:val="20"/>
        </w:rPr>
        <w:t xml:space="preserve">Комплекс «обжиг – выщелачивание – электроэкстракция» производительностью 75 000 т катодной меди в год</w:t>
      </w:r>
    </w:p>
    <w:p>
      <w:pPr>
        <w:spacing w:before="0" w:after="400"/>
        <w:jc w:val="center"/>
      </w:pPr>
      <w:r>
        <w:rPr>
          <w:rFonts w:ascii="Arial" w:hAnsi="Arial" w:cs="Arial"/>
          <w:sz w:val="20"/>
          <w:szCs w:val="20"/>
        </w:rPr>
        <w:t xml:space="preserve">Шифр объекта КГМК.ОВЭ-75</w:t>
      </w:r>
    </w:p>
    <w:p>
      <w:pPr>
        <w:spacing w:before="0" w:after="80"/>
        <w:jc w:val="center"/>
      </w:pPr>
      <w:r>
        <w:rPr>
          <w:rFonts w:ascii="Arial" w:hAnsi="Arial" w:cs="Arial"/>
          <w:b/>
          <w:sz w:val="22"/>
          <w:szCs w:val="22"/>
        </w:rPr>
        <w:t xml:space="preserve">БАЗОВЫЙ ИНЖИНИРИНГ — ЭСКИЗНАЯ ПРОРАБОТКА</w:t>
      </w:r>
    </w:p>
    <w:p>
      <w:pPr>
        <w:spacing w:before="0" w:after="520"/>
        <w:jc w:val="center"/>
      </w:pPr>
      <w:r>
        <w:rPr>
          <w:rFonts w:ascii="Arial" w:hAnsi="Arial" w:cs="Arial"/>
          <w:sz w:val="22"/>
          <w:szCs w:val="22"/>
        </w:rPr>
        <w:t xml:space="preserve">Лот №1 «Цех обжига»</w:t>
      </w:r>
    </w:p>
    <w:p>
      <w:pPr>
        <w:spacing w:before="0" w:after="160"/>
        <w:jc w:val="center"/>
      </w:pPr>
      <w:r>
        <w:rPr>
          <w:rFonts w:ascii="Arial" w:hAnsi="Arial" w:cs="Arial"/>
          <w:b/>
          <w:sz w:val="36"/>
          <w:szCs w:val="36"/>
        </w:rPr>
        <w:t xml:space="preserve">Стоимостной блок: порядок сбора ТКП и бюджетной оценки поставки</w:t>
      </w:r>
    </w:p>
    <w:p>
      <w:pPr>
        <w:spacing w:before="0" w:after="20"/>
        <w:jc w:val="center"/>
      </w:pPr>
      <w:r>
        <w:rPr>
          <w:rFonts w:ascii="Arial" w:hAnsi="Arial" w:cs="Arial"/>
          <w:color w:val="555555"/>
          <w:sz w:val="18"/>
          <w:szCs w:val="18"/>
        </w:rPr>
        <w:t xml:space="preserve">Обозначение документа</w:t>
      </w:r>
    </w:p>
    <w:p>
      <w:pPr>
        <w:spacing w:before="0" w:after="400"/>
        <w:jc w:val="center"/>
      </w:pPr>
      <w:r>
        <w:rPr>
          <w:rFonts w:ascii="Arial" w:hAnsi="Arial" w:cs="Arial"/>
          <w:b/>
          <w:sz w:val="28"/>
          <w:szCs w:val="28"/>
        </w:rPr>
        <w:t xml:space="preserve">ОВЭ75-БИ-Л1-СТ</w:t>
      </w:r>
    </w:p>
    <w:tbl>
      <w:tblPr>
        <w:tblW w:w="9636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80" w:type="dxa"/>
          <w:right w:w="80" w:type="dxa"/>
        </w:tblCellMar>
      </w:tblPr>
      <w:tblGrid>
        <w:gridCol w:w="9636"/>
      </w:tblGrid>
      <w:tr>
        <w:tc>
          <w:tcPr>
            <w:tcW w:w="9636" w:type="dxa"/>
            <w:vAlign w:val="center"/>
          </w:tcPr>
          <w:p>
            <w:pPr>
              <w:spacing w:before="0" w:after="40"/>
              <w:jc w:val="center"/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ЭСКИЗНАЯ ПРОРАБОТКА · НЕ ДЛЯ СТРОИТЕЛЬСТВА · РЕВИЗИЯ 0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/>
                <w:sz w:val="17"/>
                <w:szCs w:val="17"/>
              </w:rPr>
              <w:t xml:space="preserve">Документ выпущен для согласования состава и решений с Заказчиком. Численные значения предварительные, подлежат уточнению по исходным данным Заказчика и техническим предложениям изготовителей. Не подлежит применению для закупки, изготовления и строительства.</w:t>
            </w:r>
          </w:p>
        </w:tc>
      </w:tr>
    </w:tbl>
    <w:p>
      <w:pPr>
        <w:spacing w:before="0" w:after="300"/>
      </w:pPr>
      <w:r>
        <w:rPr>
          <w:rFonts w:ascii="Arial" w:hAnsi="Arial" w:cs="Arial"/>
          <w:sz w:val="8"/>
          <w:szCs w:val="8"/>
        </w:rPr>
        <w:t xml:space="preserve"/>
      </w:r>
    </w:p>
    <w:tbl>
      <w:tblPr>
        <w:tblW w:w="9636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80" w:type="dxa"/>
          <w:right w:w="80" w:type="dxa"/>
        </w:tblCellMar>
      </w:tblPr>
      <w:tblGrid>
        <w:gridCol w:w="3276"/>
        <w:gridCol w:w="3372"/>
        <w:gridCol w:w="2988"/>
      </w:tblGrid>
      <w:tr>
        <w:tc>
          <w:tcPr>
            <w:tcW w:w="3276" w:type="dxa"/>
            <w:shd w:val="clear" w:color="auto" w:fill="EFEFEF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sz w:val="17"/>
                <w:szCs w:val="17"/>
              </w:rPr>
              <w:t xml:space="preserve">Должность</w:t>
            </w:r>
          </w:p>
        </w:tc>
        <w:tc>
          <w:tcPr>
            <w:tcW w:w="3372" w:type="dxa"/>
            <w:shd w:val="clear" w:color="auto" w:fill="EFEFEF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sz w:val="17"/>
                <w:szCs w:val="17"/>
              </w:rPr>
              <w:t xml:space="preserve">Подпись, дата</w:t>
            </w:r>
          </w:p>
        </w:tc>
        <w:tc>
          <w:tcPr>
            <w:tcW w:w="2988" w:type="dxa"/>
            <w:shd w:val="clear" w:color="auto" w:fill="EFEFEF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sz w:val="17"/>
                <w:szCs w:val="17"/>
              </w:rPr>
              <w:t xml:space="preserve">Фамилия</w:t>
            </w:r>
          </w:p>
        </w:tc>
      </w:tr>
      <w:tr>
        <w:tc>
          <w:tcPr>
            <w:tcW w:w="3276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Генеральный директор</w:t>
            </w:r>
          </w:p>
        </w:tc>
        <w:tc>
          <w:tcPr>
            <w:tcW w:w="3372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988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w="3276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Главный инженер проекта</w:t>
            </w:r>
          </w:p>
        </w:tc>
        <w:tc>
          <w:tcPr>
            <w:tcW w:w="3372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988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w="3276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Разработал</w:t>
            </w:r>
          </w:p>
        </w:tc>
        <w:tc>
          <w:tcPr>
            <w:tcW w:w="3372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988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</w:tr>
    </w:tbl>
    <w:p>
      <w:pPr>
        <w:spacing w:before="0" w:after="400"/>
      </w:pPr>
      <w:r>
        <w:rPr>
          <w:rFonts w:ascii="Arial" w:hAnsi="Arial" w:cs="Arial"/>
          <w:sz w:val="8"/>
          <w:szCs w:val="8"/>
        </w:rPr>
        <w:t xml:space="preserve"/>
      </w:r>
    </w:p>
    <w:p>
      <w:pPr>
        <w:spacing w:before="0" w:after="60"/>
        <w:jc w:val="center"/>
      </w:pPr>
      <w:r>
        <w:rPr>
          <w:rFonts w:ascii="Arial" w:hAnsi="Arial" w:cs="Arial"/>
          <w:sz w:val="20"/>
          <w:szCs w:val="20"/>
        </w:rPr>
        <w:t xml:space="preserve">Ревизия 0 · 02.09.2026</w:t>
      </w:r>
    </w:p>
    <w:p>
      <w:pPr>
        <w:spacing w:before="0" w:after="0"/>
        <w:jc w:val="center"/>
      </w:pPr>
      <w:r>
        <w:rPr>
          <w:rFonts w:ascii="Arial" w:hAnsi="Arial" w:cs="Arial"/>
          <w:sz w:val="20"/>
          <w:szCs w:val="20"/>
        </w:rPr>
        <w:t xml:space="preserve">Москва, 2026</w:t>
      </w:r>
      <w:r>
        <w:br w:type="page"/>
      </w:r>
    </w:p>
    <w:p>
      <w:pPr>
        <w:spacing w:before="0" w:after="160"/>
      </w:pPr>
      <w:r>
        <w:rPr>
          <w:rFonts w:ascii="Arial" w:hAnsi="Arial" w:cs="Arial"/>
          <w:b/>
          <w:sz w:val="24"/>
          <w:szCs w:val="24"/>
        </w:rPr>
        <w:t xml:space="preserve">Лист регистрации ревизий</w:t>
      </w:r>
    </w:p>
    <w:tbl>
      <w:tblPr>
        <w:tblW w:w="9636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80" w:type="dxa"/>
          <w:right w:w="80" w:type="dxa"/>
        </w:tblCellMar>
      </w:tblPr>
      <w:tblGrid>
        <w:gridCol w:w="1000"/>
        <w:gridCol w:w="1500"/>
        <w:gridCol w:w="4436"/>
        <w:gridCol w:w="1350"/>
        <w:gridCol w:w="1350"/>
      </w:tblGrid>
      <w:tr>
        <w:tc>
          <w:tcPr>
            <w:tcW w:w="1000" w:type="dxa"/>
            <w:shd w:val="clear" w:color="auto" w:fill="EFEFEF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sz w:val="17"/>
                <w:szCs w:val="17"/>
              </w:rPr>
              <w:t xml:space="preserve">Ревизия</w:t>
            </w:r>
          </w:p>
        </w:tc>
        <w:tc>
          <w:tcPr>
            <w:tcW w:w="1500" w:type="dxa"/>
            <w:shd w:val="clear" w:color="auto" w:fill="EFEFEF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sz w:val="17"/>
                <w:szCs w:val="17"/>
              </w:rPr>
              <w:t xml:space="preserve">Дата</w:t>
            </w:r>
          </w:p>
        </w:tc>
        <w:tc>
          <w:tcPr>
            <w:tcW w:w="4436" w:type="dxa"/>
            <w:shd w:val="clear" w:color="auto" w:fill="EFEFEF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sz w:val="17"/>
                <w:szCs w:val="17"/>
              </w:rPr>
              <w:t xml:space="preserve">Содержание изменений</w:t>
            </w:r>
          </w:p>
        </w:tc>
        <w:tc>
          <w:tcPr>
            <w:tcW w:w="1350" w:type="dxa"/>
            <w:shd w:val="clear" w:color="auto" w:fill="EFEFEF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sz w:val="17"/>
                <w:szCs w:val="17"/>
              </w:rPr>
              <w:t xml:space="preserve">Разработал</w:t>
            </w:r>
          </w:p>
        </w:tc>
        <w:tc>
          <w:tcPr>
            <w:tcW w:w="1350" w:type="dxa"/>
            <w:shd w:val="clear" w:color="auto" w:fill="EFEFEF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sz w:val="17"/>
                <w:szCs w:val="17"/>
              </w:rPr>
              <w:t xml:space="preserve">Проверил</w:t>
            </w:r>
          </w:p>
        </w:tc>
      </w:tr>
      <w:tr>
        <w:tc>
          <w:tcPr>
            <w:tcW w:w="10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 xml:space="preserve">0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 xml:space="preserve">02.09.2026</w:t>
            </w:r>
          </w:p>
        </w:tc>
        <w:tc>
          <w:tcPr>
            <w:tcW w:w="4436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Первая выдача. Черновик для согласования состава и решений с Заказчиком.</w:t>
            </w:r>
          </w:p>
        </w:tc>
        <w:tc>
          <w:tcPr>
            <w:tcW w:w="135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135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w="100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150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4436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135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135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w="100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150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4436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135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135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</w:tr>
    </w:tbl>
    <w:p>
      <w:pPr>
        <w:spacing w:before="0" w:after="200"/>
      </w:pPr>
      <w:r>
        <w:rPr>
          <w:rFonts w:ascii="Arial" w:hAnsi="Arial" w:cs="Arial"/>
          <w:sz w:val="8"/>
          <w:szCs w:val="8"/>
        </w:rPr>
        <w:t xml:space="preserve"/>
      </w:r>
    </w:p>
    <w:p>
      <w:pPr>
        <w:spacing w:before="0" w:after="80"/>
      </w:pPr>
      <w:r>
        <w:rPr>
          <w:rFonts w:ascii="Arial" w:hAnsi="Arial" w:cs="Arial"/>
          <w:b/>
          <w:sz w:val="20"/>
          <w:szCs w:val="20"/>
        </w:rPr>
        <w:t xml:space="preserve">Основание разработки</w:t>
      </w:r>
    </w:p>
    <w:p>
      <w:pPr>
        <w:spacing w:before="0" w:after="120"/>
      </w:pPr>
      <w:r>
        <w:rPr>
          <w:rFonts w:ascii="Arial" w:hAnsi="Arial" w:cs="Arial"/>
          <w:sz w:val="18"/>
          <w:szCs w:val="18"/>
        </w:rPr>
        <w:t xml:space="preserve">Техническое задание на выполнение Базового инжиниринга (ред. 4.1 от 25.08.2026) с приложениями; исходные данные Заказчика (части 1 и 2). Документ соответствует пункту состава Базового инжиниринга: D-29, D-30.</w:t>
      </w:r>
    </w:p>
    <w:p>
      <w:pPr>
        <w:spacing w:before="0" w:after="0"/>
      </w:pPr>
      <w:r>
        <w:rPr>
          <w:rFonts w:ascii="Arial" w:hAnsi="Arial" w:cs="Arial"/>
          <w:sz w:val="8"/>
          <w:szCs w:val="8"/>
        </w:rPr>
        <w:t xml:space="preserve"/>
      </w:r>
      <w:r>
        <w:br w:type="page"/>
      </w:r>
    </w:p>
    <w:p>
      <w:pPr>
        <w:pStyle w:val="Heading1"/>
      </w:pPr>
      <w:r>
        <w:rPr>
          <w:b/>
          <w:sz w:val="28"/>
        </w:rPr>
        <w:t xml:space="preserve">1. Общие положения</w:t>
      </w:r>
    </w:p>
    <w:p>
      <w:pPr>
        <w:pStyle w:val="Heading2"/>
      </w:pPr>
      <w:r>
        <w:rPr>
          <w:b/>
          <w:sz w:val="24"/>
        </w:rPr>
        <w:t xml:space="preserve">1.1 Назначение документа</w:t>
      </w:r>
    </w:p>
    <w:p>
      <w:r>
        <w:rPr>
          <w:sz w:val="20"/>
        </w:rPr>
        <w:t xml:space="preserve">Документ устанавливает порядок формирования стоимостной части Базового инжиниринга по Лоту №1 «Цех обжига»: состав и границы цены комплектной поставки, методическую базу и класс точности бюджетной оценки, базис цен и требования к содержанию технико-коммерческих предложений изготовителей, реестр закупочных позиций лота с перечнем кандидатов-изготовителей и статусом запросов, порядок сопоставления предложений и форму итоговой сводки стоимости поставки.</w:t>
      </w:r>
    </w:p>
    <w:p>
      <w:r>
        <w:rPr>
          <w:sz w:val="20"/>
        </w:rPr>
        <w:t xml:space="preserve">Документ выполняет требования состава Базового инжиниринга: «стоимость оборудования по данным технико-коммерческих предложений потенциальных поставщиков» и «оценка общей стоимости комплектной поставки технологического оборудования и материалов в границах проектирования» Технического задания на Базовый инжиниринг ред. 4.1.</w:t>
      </w:r>
    </w:p>
    <w:p>
      <w:r>
        <w:rPr>
          <w:sz w:val="20"/>
        </w:rPr>
        <w:t xml:space="preserve">Стоимостные значения в настоящем документе не приводятся. Ценовые графы форм разделов 5 и 6 заполняются после получения предложений изготовителей; до этого момента в графах проставляется отметка «по ТКП». Настоящая ревизия документа устанавливает порядок работ и состав форм и подлежит согласованию с Заказчиком в части перечня основного оборудования, выносимого на запрос предложений, и перечня адресатов запросов.</w:t>
      </w:r>
    </w:p>
    <w:p>
      <w:r>
        <w:rPr>
          <w:sz w:val="20"/>
        </w:rPr>
        <w:t xml:space="preserve">Стоимость поставки Лота №1 определяется группой крупных единичных аппаратов печного острова и газоочистки: печь кипящего слоя, котёл-утилизатор, сухие электрофильтры и дымососы. Эти позиции одновременно являются оборудованием длительного цикла изготовления, поэтому их бюджетные предложения собираются в первую очередь: они задают и стоимость, и сроки поставки лота.</w:t>
      </w:r>
    </w:p>
    <w:p>
      <w:r>
        <w:rPr>
          <w:color w:val="666666"/>
          <w:sz w:val="17"/>
        </w:rPr>
        <w:t xml:space="preserve">Источник: ТЗ на БИ ред. 4.1 — раздел «Стоимость поставки по Лоту №1» и границы проектирования п. 3.3; ИД ч.1 (табл. 23 и 24Б — референсные изготовители позиций перечня); Приложение №5 к ТЗ (комплектность запасных частей, приоритет производства Российской Федерации); AACE RP 18R-97 (класс точности оценки)</w:t>
      </w:r>
    </w:p>
    <w:p>
      <w:pPr>
        <w:pStyle w:val="Heading2"/>
      </w:pPr>
      <w:r>
        <w:rPr>
          <w:b/>
          <w:sz w:val="24"/>
        </w:rPr>
        <w:t xml:space="preserve">1.2 Состав цены комплектной поставки лота</w:t>
      </w:r>
    </w:p>
    <w:p>
      <w:r>
        <w:rPr>
          <w:sz w:val="20"/>
        </w:rPr>
        <w:t xml:space="preserve">В цену комплектной поставки лота включается:</w:t>
      </w:r>
    </w:p>
    <w:p>
      <w:r>
        <w:rPr>
          <w:sz w:val="20"/>
        </w:rPr>
        <w:t xml:space="preserve">Технологическое оборудование перечня лота; трубопроводы и газоходы с футеровкой; технологические металлоконструкции (бункерная этажерка, площадки обслуживания, опорные конструкции газоходов); тепловая изоляция; приборы контроля и автоматизации и автоматизированная система управления технологическим процессом с прикладным программным обеспечением; электрооборудование в согласованных границах; запасные части на период пусконаладочных работ и на два года эксплуатации; шеф-монтаж, пусконаладочные работы, обучение персонала и документация изготовителей.</w:t>
      </w:r>
    </w:p>
    <w:p>
      <w:r>
        <w:rPr>
          <w:sz w:val="20"/>
        </w:rPr>
        <w:t xml:space="preserve">В цену комплектной поставки лота не включается:</w:t>
      </w:r>
    </w:p>
    <w:p>
      <w:r>
        <w:rPr>
          <w:sz w:val="20"/>
        </w:rPr>
        <w:t xml:space="preserve">Строительная часть и строительно-монтажные работы; оборудование смежных переделов (сернокислотный и гидрометаллургический цехи) за границами пункта 3.3 Технического задания; внешние сети и источники энергоресурсов до точек подключения; электрооборудование за пределами согласованной границы поставки (положение границы по трансформаторным подстанциям — открытая позиция); проектные работы последующих стадий.</w:t>
      </w:r>
    </w:p>
    <w:p>
      <w:r>
        <w:rPr>
          <w:color w:val="555555"/>
          <w:sz w:val="18"/>
        </w:rPr>
        <w:t xml:space="preserve">Границы поставки соответствуют границам проектирования лота, установленным Техническим заданием; точки разграничения по материальным потокам и энергоресурсам приведены в пояснительной записке по лоту.</w:t>
      </w:r>
    </w:p>
    <w:p>
      <w:pPr>
        <w:pStyle w:val="Heading2"/>
      </w:pPr>
      <w:r>
        <w:rPr>
          <w:b/>
          <w:sz w:val="24"/>
        </w:rPr>
        <w:t xml:space="preserve">1.3 Методическая база и класс точности оценки</w:t>
      </w:r>
    </w:p>
    <w:p>
      <w:r>
        <w:rPr>
          <w:sz w:val="20"/>
        </w:rPr>
        <w:t xml:space="preserve">Бюджетная оценка стоимости комплектной поставки выполняется как оценка класса точности Class 3 по классификации AACE RP 18R-97, что соответствует стадии Базового инжиниринга и проработке проекта на уровне 10–40 %. Диапазон точности оценки этого класса — от минус 15–20 % до плюс 15–20 %. Класс точности оценки предлагается зафиксировать в договоре: он определяет допустимый объём исходных данных и ответственность сторон за отклонение фактической стоимости от оценочной.</w:t>
      </w:r>
    </w:p>
    <w:p>
      <w:r>
        <w:rPr>
          <w:sz w:val="20"/>
        </w:rPr>
        <w:t xml:space="preserve">Оценка этого класса опирается на перечень оборудования и бюджетные предложения по основному оборудованию; сбор предложений по всем позициям перечня относится к закупочной стадии проекта и точности оценки этого класса не повышает.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3400"/>
        <w:gridCol w:w="5954"/>
      </w:tblGrid>
      <w:tr>
        <w:trPr>
          <w:tblHeader/>
          <w:cantSplit/>
        </w:trPr>
        <w:tc>
          <w:tcPr>
            <w:tcW w:w="3400" w:type="dxa"/>
            <w:shd w:val="clear" w:fill="EFEFEF"/>
          </w:tcPr>
          <w:p>
            <w:r>
              <w:rPr>
                <w:b/>
                <w:sz w:val="15"/>
              </w:rPr>
              <w:t xml:space="preserve">Документ</w:t>
            </w:r>
          </w:p>
        </w:tc>
        <w:tc>
          <w:tcPr>
            <w:tcW w:w="5954" w:type="dxa"/>
            <w:shd w:val="clear" w:fill="EFEFEF"/>
          </w:tcPr>
          <w:p>
            <w:r>
              <w:rPr>
                <w:b/>
                <w:sz w:val="15"/>
              </w:rPr>
              <w:t xml:space="preserve">Применение</w:t>
            </w:r>
          </w:p>
        </w:tc>
      </w:tr>
      <w:tr>
        <w:trPr>
          <w:cantSplit/>
        </w:trPr>
        <w:tc>
          <w:tcPr>
            <w:tcW w:w="3400" w:type="dxa"/>
          </w:tcPr>
          <w:p>
            <w:r>
              <w:rPr>
                <w:sz w:val="17"/>
              </w:rPr>
              <w:t xml:space="preserve">AACE RP 18R-97</w:t>
            </w:r>
          </w:p>
        </w:tc>
        <w:tc>
          <w:tcPr>
            <w:tcW w:w="5954" w:type="dxa"/>
          </w:tcPr>
          <w:p>
            <w:r>
              <w:rPr>
                <w:sz w:val="17"/>
              </w:rPr>
              <w:t xml:space="preserve">Классификация оценок стоимости; класс точности Class 3 для стадии Базового инжиниринга</w:t>
            </w:r>
          </w:p>
        </w:tc>
      </w:tr>
      <w:tr>
        <w:trPr>
          <w:cantSplit/>
        </w:trPr>
        <w:tc>
          <w:tcPr>
            <w:tcW w:w="3400" w:type="dxa"/>
          </w:tcPr>
          <w:p>
            <w:r>
              <w:rPr>
                <w:sz w:val="17"/>
              </w:rPr>
              <w:t xml:space="preserve">Техническое задание на Базовый инжиниринг ред. 4.1</w:t>
            </w:r>
          </w:p>
        </w:tc>
        <w:tc>
          <w:tcPr>
            <w:tcW w:w="5954" w:type="dxa"/>
          </w:tcPr>
          <w:p>
            <w:r>
              <w:rPr>
                <w:sz w:val="17"/>
              </w:rPr>
              <w:t xml:space="preserve">Состав стоимостной части: бюджетные предложения по основному оборудованию и бюджетная оценка комплектной поставки в границах проектирования лота</w:t>
            </w:r>
          </w:p>
        </w:tc>
      </w:tr>
      <w:tr>
        <w:trPr>
          <w:cantSplit/>
        </w:trPr>
        <w:tc>
          <w:tcPr>
            <w:tcW w:w="3400" w:type="dxa"/>
          </w:tcPr>
          <w:p>
            <w:r>
              <w:rPr>
                <w:sz w:val="17"/>
              </w:rPr>
              <w:t xml:space="preserve">Приложение №5 к Техническому заданию</w:t>
            </w:r>
          </w:p>
        </w:tc>
        <w:tc>
          <w:tcPr>
            <w:tcW w:w="5954" w:type="dxa"/>
          </w:tcPr>
          <w:p>
            <w:r>
              <w:rPr>
                <w:sz w:val="17"/>
              </w:rPr>
              <w:t xml:space="preserve">Комплектность запасных частей систем управления и контроля на два года эксплуатации: не менее 10 % и не менее одной штуки каждого наименования; приоритет оборудования производства Российской Федерации</w:t>
            </w:r>
          </w:p>
        </w:tc>
      </w:tr>
      <w:tr>
        <w:trPr>
          <w:cantSplit/>
        </w:trPr>
        <w:tc>
          <w:tcPr>
            <w:tcW w:w="3400" w:type="dxa"/>
          </w:tcPr>
          <w:p>
            <w:r>
              <w:rPr>
                <w:sz w:val="17"/>
              </w:rPr>
              <w:t xml:space="preserve">Методика определения сметной стоимости (приказ Министерства строительства и жилищно-коммунального хозяйства № 421/пр)</w:t>
            </w:r>
          </w:p>
        </w:tc>
        <w:tc>
          <w:tcPr>
            <w:tcW w:w="5954" w:type="dxa"/>
          </w:tcPr>
          <w:p>
            <w:r>
              <w:rPr>
                <w:sz w:val="17"/>
              </w:rPr>
              <w:t xml:space="preserve">Применяется при переходе к сметной стоимости на последующих стадиях; на стадии Базового инжиниринга основанием служат коммерческие предложения изготовителей. Применимость подлежит уточнению с Заказчиком</w:t>
            </w:r>
          </w:p>
        </w:tc>
      </w:tr>
    </w:tbl>
    <w:p>
      <w:pPr>
        <w:pStyle w:val="Heading2"/>
      </w:pPr>
      <w:r>
        <w:rPr>
          <w:b/>
          <w:sz w:val="24"/>
        </w:rPr>
        <w:t xml:space="preserve">1.4 Связанные документы выпуска</w:t>
      </w:r>
    </w:p>
    <w:p>
      <w:r>
        <w:rPr>
          <w:sz w:val="20"/>
        </w:rPr>
        <w:t xml:space="preserve">Исходные данные для стоимостной части выпускаются в составе других документов Базового инжиниринга по лоту; настоящий документ на них ссылается и их не дублирует.</w:t>
      </w:r>
    </w:p>
    <w:p>
      <w:r>
        <w:rPr>
          <w:sz w:val="20"/>
        </w:rPr>
        <w:t xml:space="preserve">— ОВЭ75-БИ-Л1-ПЗ — Пояснительная записка</w:t>
      </w:r>
    </w:p>
    <w:p>
      <w:r>
        <w:rPr>
          <w:sz w:val="20"/>
        </w:rPr>
        <w:t xml:space="preserve">— ОВЭ75-БИ-Л1-СО — Спецификация оборудования с техническими характеристиками</w:t>
      </w:r>
    </w:p>
    <w:p>
      <w:r>
        <w:rPr>
          <w:sz w:val="20"/>
        </w:rPr>
        <w:t xml:space="preserve">— ОВЭ75-БИ-Л1-ОЛ — Опросные листы основного оборудования (альбом)</w:t>
      </w:r>
    </w:p>
    <w:p>
      <w:r>
        <w:rPr>
          <w:sz w:val="20"/>
        </w:rPr>
        <w:t xml:space="preserve">— ОВЭ75-БИ-Л1-ДЦ — Исходные требования на длинноцикловое оборудование</w:t>
      </w:r>
    </w:p>
    <w:p>
      <w:r>
        <w:rPr>
          <w:sz w:val="20"/>
        </w:rPr>
        <w:t xml:space="preserve">— ОВЭ75-БИ-Л1-МТ — Требования к монтажу (включая вес самых тяжёлых частей)</w:t>
      </w:r>
    </w:p>
    <w:p>
      <w:r>
        <w:rPr>
          <w:sz w:val="20"/>
        </w:rPr>
        <w:t xml:space="preserve">— ОВЭ75-БИ-Л1-ЭС — Электроснабжение и электрооборудование: однолинейные схемы, предварительный перечень</w:t>
      </w:r>
    </w:p>
    <w:p>
      <w:r>
        <w:rPr>
          <w:sz w:val="20"/>
        </w:rPr>
        <w:t xml:space="preserve">— ОВЭ75-БИ-Л1-НГ — Планы строительных конструкций и фундаментов с предварительными нагрузками</w:t>
      </w:r>
    </w:p>
    <w:p>
      <w:r>
        <w:rPr>
          <w:sz w:val="20"/>
        </w:rPr>
        <w:t xml:space="preserve">— ОВЭ75-БИ-ОБ-ТКП — Реестр запросов бюджетных технико-коммерческих предложений (комплекты запросов по всем закупочным позициям проекта)</w:t>
      </w:r>
    </w:p>
    <w:p>
      <w:r>
        <w:rPr>
          <w:color w:val="555555"/>
          <w:sz w:val="18"/>
        </w:rPr>
        <w:t xml:space="preserve">Из общего реестра запросов проекта к настоящему лоту относятся 11 закупочных позиций; их перечень приведён в разделе 3.</w:t>
      </w:r>
    </w:p>
    <w:p>
      <w:pPr>
        <w:pStyle w:val="Heading1"/>
      </w:pPr>
      <w:r>
        <w:rPr>
          <w:b/>
          <w:sz w:val="28"/>
        </w:rPr>
        <w:t xml:space="preserve">2. Порядок формирования бюджетной оценки поставки</w:t>
      </w:r>
    </w:p>
    <w:p>
      <w:pPr>
        <w:pStyle w:val="Heading2"/>
      </w:pPr>
      <w:r>
        <w:rPr>
          <w:b/>
          <w:sz w:val="24"/>
        </w:rPr>
        <w:t xml:space="preserve">2.1 Двухуровневая структура оценки</w:t>
      </w:r>
    </w:p>
    <w:p>
      <w:r>
        <w:rPr>
          <w:sz w:val="20"/>
        </w:rPr>
        <w:t xml:space="preserve">Оценка стоимости комплектной поставки формируется на двух уровнях. Первый уровень — бюджетные технико-коммерческие предложения изготовителей по основному оборудованию лота: перечень основного оборудования фиксируется протоколом с Заказчиком и охватывает ориентировочно 70–80 % стоимости поставки. Второй уровень — остальные позиции перечня, материалы и вспомогательное оборудование: они оцениваются по укрупнённым показателям и ценовой базе аналогичных поставок Исполнителя с приведением к дате уровня цен.</w:t>
      </w:r>
    </w:p>
    <w:p>
      <w:r>
        <w:rPr>
          <w:sz w:val="20"/>
        </w:rPr>
        <w:t xml:space="preserve">Редакцией 4.1 Технического задания требование о представлении не менее двух-трёх предложений на каждую позицию оборудования исключено; действует формулировка «бюджетные технико-коммерческие предложения по основному оборудованию». Целевое число сопоставимых предложений по каждой позиции основного перечня принято не менее трёх: три предложения дают представительный ценовой диапазон и позволяют отбраковать предложение, не отвечающее техническим требованиям. Если по позиции подтверждённых изготовителей меньше, составляется письменное обоснование с перечнем адресатов и полученных отказов.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2400"/>
        <w:gridCol w:w="3900"/>
        <w:gridCol w:w="3054"/>
      </w:tblGrid>
      <w:tr>
        <w:trPr>
          <w:tblHeader/>
          <w:cantSplit/>
        </w:trPr>
        <w:tc>
          <w:tcPr>
            <w:tcW w:w="2400" w:type="dxa"/>
            <w:shd w:val="clear" w:fill="EFEFEF"/>
          </w:tcPr>
          <w:p>
            <w:r>
              <w:rPr>
                <w:b/>
                <w:sz w:val="15"/>
              </w:rPr>
              <w:t xml:space="preserve">Уровень оценки</w:t>
            </w:r>
          </w:p>
        </w:tc>
        <w:tc>
          <w:tcPr>
            <w:tcW w:w="3900" w:type="dxa"/>
            <w:shd w:val="clear" w:fill="EFEFEF"/>
          </w:tcPr>
          <w:p>
            <w:r>
              <w:rPr>
                <w:b/>
                <w:sz w:val="15"/>
              </w:rPr>
              <w:t xml:space="preserve">Что охватывает</w:t>
            </w:r>
          </w:p>
        </w:tc>
        <w:tc>
          <w:tcPr>
            <w:tcW w:w="3054" w:type="dxa"/>
            <w:shd w:val="clear" w:fill="EFEFEF"/>
          </w:tcPr>
          <w:p>
            <w:r>
              <w:rPr>
                <w:b/>
                <w:sz w:val="15"/>
              </w:rPr>
              <w:t xml:space="preserve">Основание значения</w:t>
            </w:r>
          </w:p>
        </w:tc>
      </w:tr>
      <w:tr>
        <w:trPr>
          <w:cantSplit/>
        </w:trPr>
        <w:tc>
          <w:tcPr>
            <w:tcW w:w="2400" w:type="dxa"/>
          </w:tcPr>
          <w:p>
            <w:r>
              <w:rPr>
                <w:sz w:val="17"/>
              </w:rPr>
              <w:t xml:space="preserve">Бюджетные предложения изготовителей</w:t>
            </w:r>
          </w:p>
        </w:tc>
        <w:tc>
          <w:tcPr>
            <w:tcW w:w="3900" w:type="dxa"/>
          </w:tcPr>
          <w:p>
            <w:r>
              <w:rPr>
                <w:sz w:val="17"/>
              </w:rPr>
              <w:t xml:space="preserve">Основное оборудование лота по согласованному перечню — ориентировочно 70–80 % стоимости поставки</w:t>
            </w:r>
          </w:p>
        </w:tc>
        <w:tc>
          <w:tcPr>
            <w:tcW w:w="3054" w:type="dxa"/>
          </w:tcPr>
          <w:p>
            <w:r>
              <w:rPr>
                <w:sz w:val="17"/>
              </w:rPr>
              <w:t xml:space="preserve">Технико-коммерческое предложение изготовителя по опросному листу</w:t>
            </w:r>
          </w:p>
        </w:tc>
      </w:tr>
      <w:tr>
        <w:trPr>
          <w:cantSplit/>
        </w:trPr>
        <w:tc>
          <w:tcPr>
            <w:tcW w:w="2400" w:type="dxa"/>
          </w:tcPr>
          <w:p>
            <w:r>
              <w:rPr>
                <w:sz w:val="17"/>
              </w:rPr>
              <w:t xml:space="preserve">Укрупнённые показатели</w:t>
            </w:r>
          </w:p>
        </w:tc>
        <w:tc>
          <w:tcPr>
            <w:tcW w:w="3900" w:type="dxa"/>
          </w:tcPr>
          <w:p>
            <w:r>
              <w:rPr>
                <w:sz w:val="17"/>
              </w:rPr>
              <w:t xml:space="preserve">Прочее оборудование перечня, материалы (трубопроводы, металлоконструкции, изоляция), полевые приборы, вспомогательные системы</w:t>
            </w:r>
          </w:p>
        </w:tc>
        <w:tc>
          <w:tcPr>
            <w:tcW w:w="3054" w:type="dxa"/>
          </w:tcPr>
          <w:p>
            <w:r>
              <w:rPr>
                <w:sz w:val="17"/>
              </w:rPr>
              <w:t xml:space="preserve">Ценовая база аналогичных поставок Исполнителя, приведённая к дате уровня цен</w:t>
            </w:r>
          </w:p>
        </w:tc>
      </w:tr>
      <w:tr>
        <w:trPr>
          <w:cantSplit/>
        </w:trPr>
        <w:tc>
          <w:tcPr>
            <w:tcW w:w="2400" w:type="dxa"/>
          </w:tcPr>
          <w:p>
            <w:r>
              <w:rPr>
                <w:sz w:val="17"/>
              </w:rPr>
              <w:t xml:space="preserve">Расчётные статьи</w:t>
            </w:r>
          </w:p>
        </w:tc>
        <w:tc>
          <w:tcPr>
            <w:tcW w:w="3900" w:type="dxa"/>
          </w:tcPr>
          <w:p>
            <w:r>
              <w:rPr>
                <w:sz w:val="17"/>
              </w:rPr>
              <w:t xml:space="preserve">Логистика и упаковка, таможенные платежи по импортным позициям, шеф-монтаж и пусконаладочные работы, обучение персонала, документация</w:t>
            </w:r>
          </w:p>
        </w:tc>
        <w:tc>
          <w:tcPr>
            <w:tcW w:w="3054" w:type="dxa"/>
          </w:tcPr>
          <w:p>
            <w:r>
              <w:rPr>
                <w:sz w:val="17"/>
              </w:rPr>
              <w:t xml:space="preserve">Данные предложений и расчёт по массам и объёмам поставки</w:t>
            </w:r>
          </w:p>
        </w:tc>
      </w:tr>
    </w:tbl>
    <w:p>
      <w:pPr>
        <w:pStyle w:val="Heading2"/>
      </w:pPr>
      <w:r>
        <w:rPr>
          <w:b/>
          <w:sz w:val="24"/>
        </w:rPr>
        <w:t xml:space="preserve">2.2 Базис цен, валюта и срок действия предложений</w:t>
      </w:r>
    </w:p>
    <w:p>
      <w:r>
        <w:rPr>
          <w:sz w:val="20"/>
        </w:rPr>
        <w:t xml:space="preserve">Предложения запрашиваются на единых коммерческих условиях; без приведения к единому базису предложения разных изготовителей несопоставимы.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2600"/>
        <w:gridCol w:w="6754"/>
      </w:tblGrid>
      <w:tr>
        <w:trPr>
          <w:tblHeader/>
          <w:cantSplit/>
        </w:trPr>
        <w:tc>
          <w:tcPr>
            <w:tcW w:w="2600" w:type="dxa"/>
            <w:shd w:val="clear" w:fill="EFEFEF"/>
          </w:tcPr>
          <w:p>
            <w:r>
              <w:rPr>
                <w:b/>
                <w:sz w:val="15"/>
              </w:rPr>
              <w:t xml:space="preserve">Условие</w:t>
            </w:r>
          </w:p>
        </w:tc>
        <w:tc>
          <w:tcPr>
            <w:tcW w:w="6754" w:type="dxa"/>
            <w:shd w:val="clear" w:fill="EFEFEF"/>
          </w:tcPr>
          <w:p>
            <w:r>
              <w:rPr>
                <w:b/>
                <w:sz w:val="15"/>
              </w:rPr>
              <w:t xml:space="preserve">Требование запроса</w:t>
            </w:r>
          </w:p>
        </w:tc>
      </w:tr>
      <w:tr>
        <w:trPr>
          <w:cantSplit/>
        </w:trPr>
        <w:tc>
          <w:tcPr>
            <w:tcW w:w="2600" w:type="dxa"/>
          </w:tcPr>
          <w:p>
            <w:r>
              <w:rPr>
                <w:sz w:val="17"/>
              </w:rPr>
              <w:t xml:space="preserve">Базис поставки</w:t>
            </w:r>
          </w:p>
        </w:tc>
        <w:tc>
          <w:tcPr>
            <w:tcW w:w="6754" w:type="dxa"/>
          </w:tcPr>
          <w:p>
            <w:r>
              <w:rPr>
                <w:sz w:val="17"/>
              </w:rPr>
              <w:t xml:space="preserve">Цена указывается раздельно на условиях EXW (склад изготовителя) и DDP Мончегорск, Российская Федерация (Инкотермс 2020). Разность двух величин даёт стоимость доставки, таможенного оформления и страхования и используется как расчётная статья сводки</w:t>
            </w:r>
          </w:p>
        </w:tc>
      </w:tr>
      <w:tr>
        <w:trPr>
          <w:cantSplit/>
        </w:trPr>
        <w:tc>
          <w:tcPr>
            <w:tcW w:w="2600" w:type="dxa"/>
          </w:tcPr>
          <w:p>
            <w:r>
              <w:rPr>
                <w:sz w:val="17"/>
              </w:rPr>
              <w:t xml:space="preserve">Валюта предложения</w:t>
            </w:r>
          </w:p>
        </w:tc>
        <w:tc>
          <w:tcPr>
            <w:tcW w:w="6754" w:type="dxa"/>
          </w:tcPr>
          <w:p>
            <w:r>
              <w:rPr>
                <w:sz w:val="17"/>
              </w:rPr>
              <w:t xml:space="preserve">Валюта указывается изготовителем; в сводку значения приводятся к единой валюте по курсу на дату уровня цен. По валютным позициям в сводке сохраняется исходная валюта и курс пересчёта</w:t>
            </w:r>
          </w:p>
        </w:tc>
      </w:tr>
      <w:tr>
        <w:trPr>
          <w:cantSplit/>
        </w:trPr>
        <w:tc>
          <w:tcPr>
            <w:tcW w:w="2600" w:type="dxa"/>
          </w:tcPr>
          <w:p>
            <w:r>
              <w:rPr>
                <w:sz w:val="17"/>
              </w:rPr>
              <w:t xml:space="preserve">Срок действия предложения</w:t>
            </w:r>
          </w:p>
        </w:tc>
        <w:tc>
          <w:tcPr>
            <w:tcW w:w="6754" w:type="dxa"/>
          </w:tcPr>
          <w:p>
            <w:r>
              <w:rPr>
                <w:sz w:val="17"/>
              </w:rPr>
              <w:t xml:space="preserve">Указывается изготовителем; при выходе срока за дату сведения оценки значение актуализируется письмом изготовителя</w:t>
            </w:r>
          </w:p>
        </w:tc>
      </w:tr>
      <w:tr>
        <w:trPr>
          <w:cantSplit/>
        </w:trPr>
        <w:tc>
          <w:tcPr>
            <w:tcW w:w="2600" w:type="dxa"/>
          </w:tcPr>
          <w:p>
            <w:r>
              <w:rPr>
                <w:sz w:val="17"/>
              </w:rPr>
              <w:t xml:space="preserve">Налоги и таможенные платежи</w:t>
            </w:r>
          </w:p>
        </w:tc>
        <w:tc>
          <w:tcPr>
            <w:tcW w:w="6754" w:type="dxa"/>
          </w:tcPr>
          <w:p>
            <w:r>
              <w:rPr>
                <w:sz w:val="17"/>
              </w:rPr>
              <w:t xml:space="preserve">Цены приводятся без налога на добавленную стоимость; таможенные платежи по импортным позициям учитываются отдельной строкой сводки</w:t>
            </w:r>
          </w:p>
        </w:tc>
      </w:tr>
      <w:tr>
        <w:trPr>
          <w:cantSplit/>
        </w:trPr>
        <w:tc>
          <w:tcPr>
            <w:tcW w:w="2600" w:type="dxa"/>
          </w:tcPr>
          <w:p>
            <w:r>
              <w:rPr>
                <w:sz w:val="17"/>
              </w:rPr>
              <w:t xml:space="preserve">Дата уровня цен</w:t>
            </w:r>
          </w:p>
        </w:tc>
        <w:tc>
          <w:tcPr>
            <w:tcW w:w="6754" w:type="dxa"/>
          </w:tcPr>
          <w:p>
            <w:r>
              <w:rPr>
                <w:sz w:val="17"/>
              </w:rPr>
              <w:t xml:space="preserve">Единая для всей сводки; указывается в заголовке итоговой сводки вместе с курсами валют пересчёта</w:t>
            </w:r>
          </w:p>
        </w:tc>
      </w:tr>
      <w:tr>
        <w:trPr>
          <w:cantSplit/>
        </w:trPr>
        <w:tc>
          <w:tcPr>
            <w:tcW w:w="2600" w:type="dxa"/>
          </w:tcPr>
          <w:p>
            <w:r>
              <w:rPr>
                <w:sz w:val="17"/>
              </w:rPr>
              <w:t xml:space="preserve">Условия платежей</w:t>
            </w:r>
          </w:p>
        </w:tc>
        <w:tc>
          <w:tcPr>
            <w:tcW w:w="6754" w:type="dxa"/>
          </w:tcPr>
          <w:p>
            <w:r>
              <w:rPr>
                <w:sz w:val="17"/>
              </w:rPr>
              <w:t xml:space="preserve">График платежей и условия авансирования относятся к коммерческому блоку Заказчика и в бюджетную оценку не входят; в предложении запрашиваются справочно для оценки сроков поставки</w:t>
            </w:r>
          </w:p>
        </w:tc>
      </w:tr>
    </w:tbl>
    <w:p>
      <w:r>
        <w:rPr>
          <w:color w:val="555555"/>
          <w:sz w:val="18"/>
        </w:rPr>
        <w:t xml:space="preserve">По импортным позициям лота (шнековые холодильники, автоцистерны-цементовозы) в сводке предусматриваются курсовая оговорка и отдельная строка таможенных платежей; приоритет при равных технических характеристиках отдаётся оборудованию производства Российской Федерации в соответствии с Приложением №5 к Техническому заданию.</w:t>
      </w:r>
    </w:p>
    <w:p>
      <w:pPr>
        <w:pStyle w:val="Heading2"/>
      </w:pPr>
      <w:r>
        <w:rPr>
          <w:b/>
          <w:sz w:val="24"/>
        </w:rPr>
        <w:t xml:space="preserve">2.3 Резерв на неопределённость стадии</w:t>
      </w:r>
    </w:p>
    <w:p>
      <w:r>
        <w:rPr>
          <w:sz w:val="20"/>
        </w:rPr>
        <w:t xml:space="preserve">Резерв на неопределённость стадии учитывает объём сведений, недоступных на Базовом инжиниринге, и включается в сводку отдельной строкой; в цены предложений изготовителей он не входит. Величина резерва определяется по перечню источников неопределённости и согласовывается с Заказчиком. Ориентировочный уровень резерва принимается в пределах диапазона точности принятого класса оценки и уточняется по мере закрытия позиций перечня предложениями изготовителей.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2700"/>
        <w:gridCol w:w="4100"/>
        <w:gridCol w:w="2554"/>
      </w:tblGrid>
      <w:tr>
        <w:trPr>
          <w:tblHeader/>
          <w:cantSplit/>
        </w:trPr>
        <w:tc>
          <w:tcPr>
            <w:tcW w:w="2700" w:type="dxa"/>
            <w:shd w:val="clear" w:fill="EFEFEF"/>
          </w:tcPr>
          <w:p>
            <w:r>
              <w:rPr>
                <w:b/>
                <w:sz w:val="15"/>
              </w:rPr>
              <w:t xml:space="preserve">Источник неопределённости</w:t>
            </w:r>
          </w:p>
        </w:tc>
        <w:tc>
          <w:tcPr>
            <w:tcW w:w="4100" w:type="dxa"/>
            <w:shd w:val="clear" w:fill="EFEFEF"/>
          </w:tcPr>
          <w:p>
            <w:r>
              <w:rPr>
                <w:b/>
                <w:sz w:val="15"/>
              </w:rPr>
              <w:t xml:space="preserve">Содержание</w:t>
            </w:r>
          </w:p>
        </w:tc>
        <w:tc>
          <w:tcPr>
            <w:tcW w:w="2554" w:type="dxa"/>
            <w:shd w:val="clear" w:fill="EFEFEF"/>
          </w:tcPr>
          <w:p>
            <w:r>
              <w:rPr>
                <w:b/>
                <w:sz w:val="15"/>
              </w:rPr>
              <w:t xml:space="preserve">Порядок учёта</w:t>
            </w:r>
          </w:p>
        </w:tc>
      </w:tr>
      <w:tr>
        <w:trPr>
          <w:cantSplit/>
        </w:trPr>
        <w:tc>
          <w:tcPr>
            <w:tcW w:w="2700" w:type="dxa"/>
          </w:tcPr>
          <w:p>
            <w:r>
              <w:rPr>
                <w:sz w:val="17"/>
              </w:rPr>
              <w:t xml:space="preserve">Позиции без предложений изготовителей</w:t>
            </w:r>
          </w:p>
        </w:tc>
        <w:tc>
          <w:tcPr>
            <w:tcW w:w="4100" w:type="dxa"/>
          </w:tcPr>
          <w:p>
            <w:r>
              <w:rPr>
                <w:sz w:val="17"/>
              </w:rPr>
              <w:t xml:space="preserve">Часть перечня оценивается по укрупнённым показателям и ценовой базе аналогов</w:t>
            </w:r>
          </w:p>
        </w:tc>
        <w:tc>
          <w:tcPr>
            <w:tcW w:w="2554" w:type="dxa"/>
          </w:tcPr>
          <w:p>
            <w:r>
              <w:rPr>
                <w:sz w:val="17"/>
              </w:rPr>
              <w:t xml:space="preserve">Резерв по группе позиций</w:t>
            </w:r>
          </w:p>
        </w:tc>
      </w:tr>
      <w:tr>
        <w:trPr>
          <w:cantSplit/>
        </w:trPr>
        <w:tc>
          <w:tcPr>
            <w:tcW w:w="2700" w:type="dxa"/>
          </w:tcPr>
          <w:p>
            <w:r>
              <w:rPr>
                <w:sz w:val="17"/>
              </w:rPr>
              <w:t xml:space="preserve">Неполнота данных изготовителя</w:t>
            </w:r>
          </w:p>
        </w:tc>
        <w:tc>
          <w:tcPr>
            <w:tcW w:w="4100" w:type="dxa"/>
          </w:tcPr>
          <w:p>
            <w:r>
              <w:rPr>
                <w:sz w:val="17"/>
              </w:rPr>
              <w:t xml:space="preserve">Массы, габариты и энергопотребление до получения предложений не заданы: влияют на стоимость логистики, монтажа и электрической части</w:t>
            </w:r>
          </w:p>
        </w:tc>
        <w:tc>
          <w:tcPr>
            <w:tcW w:w="2554" w:type="dxa"/>
          </w:tcPr>
          <w:p>
            <w:r>
              <w:rPr>
                <w:sz w:val="17"/>
              </w:rPr>
              <w:t xml:space="preserve">Резерв по статьям логистики и монтажа</w:t>
            </w:r>
          </w:p>
        </w:tc>
      </w:tr>
      <w:tr>
        <w:trPr>
          <w:cantSplit/>
        </w:trPr>
        <w:tc>
          <w:tcPr>
            <w:tcW w:w="2700" w:type="dxa"/>
          </w:tcPr>
          <w:p>
            <w:r>
              <w:rPr>
                <w:sz w:val="17"/>
              </w:rPr>
              <w:t xml:space="preserve">Курсовые колебания и таможенные платежи</w:t>
            </w:r>
          </w:p>
        </w:tc>
        <w:tc>
          <w:tcPr>
            <w:tcW w:w="4100" w:type="dxa"/>
          </w:tcPr>
          <w:p>
            <w:r>
              <w:rPr>
                <w:sz w:val="17"/>
              </w:rPr>
              <w:t xml:space="preserve">По импортным позициям цена зависит от валюты предложения, курса на дату сведения оценки и таможенных платежей</w:t>
            </w:r>
          </w:p>
        </w:tc>
        <w:tc>
          <w:tcPr>
            <w:tcW w:w="2554" w:type="dxa"/>
          </w:tcPr>
          <w:p>
            <w:r>
              <w:rPr>
                <w:sz w:val="17"/>
              </w:rPr>
              <w:t xml:space="preserve">Курсовая оговорка и отдельная строка сводки</w:t>
            </w:r>
          </w:p>
        </w:tc>
      </w:tr>
      <w:tr>
        <w:trPr>
          <w:cantSplit/>
        </w:trPr>
        <w:tc>
          <w:tcPr>
            <w:tcW w:w="2700" w:type="dxa"/>
          </w:tcPr>
          <w:p>
            <w:r>
              <w:rPr>
                <w:sz w:val="17"/>
              </w:rPr>
              <w:t xml:space="preserve">Уточнение границ поставки</w:t>
            </w:r>
          </w:p>
        </w:tc>
        <w:tc>
          <w:tcPr>
            <w:tcW w:w="4100" w:type="dxa"/>
          </w:tcPr>
          <w:p>
            <w:r>
              <w:rPr>
                <w:sz w:val="17"/>
              </w:rPr>
              <w:t xml:space="preserve">Положение границ по электрической части и разнесение стоимости систем управления между лотами уточняются протоколом</w:t>
            </w:r>
          </w:p>
        </w:tc>
        <w:tc>
          <w:tcPr>
            <w:tcW w:w="2554" w:type="dxa"/>
          </w:tcPr>
          <w:p>
            <w:r>
              <w:rPr>
                <w:sz w:val="17"/>
              </w:rPr>
              <w:t xml:space="preserve">Резерв по группе позиций до согласования границ</w:t>
            </w:r>
          </w:p>
        </w:tc>
      </w:tr>
      <w:tr>
        <w:trPr>
          <w:cantSplit/>
        </w:trPr>
        <w:tc>
          <w:tcPr>
            <w:tcW w:w="2700" w:type="dxa"/>
          </w:tcPr>
          <w:p>
            <w:r>
              <w:rPr>
                <w:sz w:val="17"/>
              </w:rPr>
              <w:t xml:space="preserve">Срок действия предложений</w:t>
            </w:r>
          </w:p>
        </w:tc>
        <w:tc>
          <w:tcPr>
            <w:tcW w:w="4100" w:type="dxa"/>
          </w:tcPr>
          <w:p>
            <w:r>
              <w:rPr>
                <w:sz w:val="17"/>
              </w:rPr>
              <w:t xml:space="preserve">Предложения имеют ограниченный срок действия; при выходе за него значения актуализируются</w:t>
            </w:r>
          </w:p>
        </w:tc>
        <w:tc>
          <w:tcPr>
            <w:tcW w:w="2554" w:type="dxa"/>
          </w:tcPr>
          <w:p>
            <w:r>
              <w:rPr>
                <w:sz w:val="17"/>
              </w:rPr>
              <w:t xml:space="preserve">Указание даты уровня цен в сводке</w:t>
            </w:r>
          </w:p>
        </w:tc>
      </w:tr>
    </w:tbl>
    <w:p>
      <w:pPr>
        <w:pStyle w:val="Heading1"/>
      </w:pPr>
      <w:r>
        <w:rPr>
          <w:b/>
          <w:sz w:val="28"/>
        </w:rPr>
        <w:t xml:space="preserve">3. Реестр закупочных позиций лота</w:t>
      </w:r>
    </w:p>
    <w:p>
      <w:pPr>
        <w:pStyle w:val="Heading2"/>
      </w:pPr>
      <w:r>
        <w:rPr>
          <w:b/>
          <w:sz w:val="24"/>
        </w:rPr>
        <w:t xml:space="preserve">3.1 Классы закупочных позиций</w:t>
      </w:r>
    </w:p>
    <w:p>
      <w:r>
        <w:rPr>
          <w:sz w:val="20"/>
        </w:rPr>
        <w:t xml:space="preserve">Каждой закупочной позиции присвоен класс, отражающий состояние рынка изготовителей по заданным техническим параметрам. Класс определяет трудоёмкость сбора предложений и порядок действий при недостатке кандидатов.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900"/>
        <w:gridCol w:w="8454"/>
      </w:tblGrid>
      <w:tr>
        <w:trPr>
          <w:tblHeader/>
          <w:cantSplit/>
        </w:trPr>
        <w:tc>
          <w:tcPr>
            <w:tcW w:w="900" w:type="dxa"/>
            <w:shd w:val="clear" w:fill="EFEFEF"/>
          </w:tcPr>
          <w:p>
            <w:r>
              <w:rPr>
                <w:b/>
                <w:sz w:val="15"/>
              </w:rPr>
              <w:t xml:space="preserve">Класс</w:t>
            </w:r>
          </w:p>
        </w:tc>
        <w:tc>
          <w:tcPr>
            <w:tcW w:w="8454" w:type="dxa"/>
            <w:shd w:val="clear" w:fill="EFEFEF"/>
          </w:tcPr>
          <w:p>
            <w:r>
              <w:rPr>
                <w:b/>
                <w:sz w:val="15"/>
              </w:rPr>
              <w:t xml:space="preserve">Характеристика позиции и порядок сбора предложений</w:t>
            </w:r>
          </w:p>
        </w:tc>
      </w:tr>
      <w:tr>
        <w:trPr>
          <w:cantSplit/>
        </w:trPr>
        <w:tc>
          <w:tcPr>
            <w:tcW w:w="900" w:type="dxa"/>
          </w:tcPr>
          <w:p>
            <w:r>
              <w:rPr>
                <w:sz w:val="17"/>
              </w:rPr>
              <w:t xml:space="preserve">A</w:t>
            </w:r>
          </w:p>
        </w:tc>
        <w:tc>
          <w:tcPr>
            <w:tcW w:w="8454" w:type="dxa"/>
          </w:tcPr>
          <w:p>
            <w:r>
              <w:rPr>
                <w:sz w:val="17"/>
              </w:rPr>
              <w:t xml:space="preserve">Позиция закрывается серийным оборудованием, рынок широкий: сбор трёх и более сопоставимых предложений выполняется в штатном порядке.</w:t>
            </w:r>
          </w:p>
        </w:tc>
      </w:tr>
      <w:tr>
        <w:trPr>
          <w:cantSplit/>
        </w:trPr>
        <w:tc>
          <w:tcPr>
            <w:tcW w:w="900" w:type="dxa"/>
          </w:tcPr>
          <w:p>
            <w:r>
              <w:rPr>
                <w:sz w:val="17"/>
              </w:rPr>
              <w:t xml:space="preserve">B</w:t>
            </w:r>
          </w:p>
        </w:tc>
        <w:tc>
          <w:tcPr>
            <w:tcW w:w="8454" w:type="dxa"/>
          </w:tcPr>
          <w:p>
            <w:r>
              <w:rPr>
                <w:sz w:val="17"/>
              </w:rPr>
              <w:t xml:space="preserve">Рынок узкий, число подтверждённых изготовителей ограничено: перечень адресатов требует отдельной проработки, часть кандидатов подтверждается только по запросу.</w:t>
            </w:r>
          </w:p>
        </w:tc>
      </w:tr>
      <w:tr>
        <w:trPr>
          <w:cantSplit/>
        </w:trPr>
        <w:tc>
          <w:tcPr>
            <w:tcW w:w="900" w:type="dxa"/>
          </w:tcPr>
          <w:p>
            <w:r>
              <w:rPr>
                <w:sz w:val="17"/>
              </w:rPr>
              <w:t xml:space="preserve">C</w:t>
            </w:r>
          </w:p>
        </w:tc>
        <w:tc>
          <w:tcPr>
            <w:tcW w:w="8454" w:type="dxa"/>
          </w:tcPr>
          <w:p>
            <w:r>
              <w:rPr>
                <w:sz w:val="17"/>
              </w:rPr>
              <w:t xml:space="preserve">Позиция дефицитная: изготовители, подтверждённые по заданным параметрам, единичны; перечень адресатов расширяется целевым поиском, при недостатке предложений составляется письменное обоснование.</w:t>
            </w:r>
          </w:p>
        </w:tc>
      </w:tr>
    </w:tbl>
    <w:p>
      <w:pPr>
        <w:pStyle w:val="Heading2"/>
      </w:pPr>
      <w:r>
        <w:rPr>
          <w:b/>
          <w:sz w:val="24"/>
        </w:rPr>
        <w:t xml:space="preserve">3.2 Реестр позиций</w:t>
      </w:r>
    </w:p>
    <w:p>
      <w:r>
        <w:rPr>
          <w:sz w:val="20"/>
        </w:rPr>
        <w:t xml:space="preserve">В реестр включены закупочные позиции Лота №1, выносимые на бюджетные технико-коммерческие предложения, а также позиции систем управления и приборов контроля, общие для всех лотов комплекса. Число кандидатов приведено по справочнику изготовителей проекта: учтены компании с подтверждённым профилем производства, проверенным по официальным источникам изготовителя.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2350"/>
        <w:gridCol w:w="560"/>
        <w:gridCol w:w="1250"/>
        <w:gridCol w:w="1400"/>
        <w:gridCol w:w="2240"/>
        <w:gridCol w:w="1554"/>
      </w:tblGrid>
      <w:tr>
        <w:trPr>
          <w:tblHeader/>
          <w:cantSplit/>
        </w:trPr>
        <w:tc>
          <w:tcPr>
            <w:tcW w:w="2350" w:type="dxa"/>
            <w:shd w:val="clear" w:fill="EFEFEF"/>
          </w:tcPr>
          <w:p>
            <w:r>
              <w:rPr>
                <w:b/>
                <w:sz w:val="15"/>
              </w:rPr>
              <w:t xml:space="preserve">Закупочная позиция</w:t>
            </w:r>
          </w:p>
        </w:tc>
        <w:tc>
          <w:tcPr>
            <w:tcW w:w="560" w:type="dxa"/>
            <w:shd w:val="clear" w:fill="EFEFEF"/>
          </w:tcPr>
          <w:p>
            <w:r>
              <w:rPr>
                <w:b/>
                <w:sz w:val="15"/>
              </w:rPr>
              <w:t xml:space="preserve">Класс</w:t>
            </w:r>
          </w:p>
        </w:tc>
        <w:tc>
          <w:tcPr>
            <w:tcW w:w="1250" w:type="dxa"/>
            <w:shd w:val="clear" w:fill="EFEFEF"/>
          </w:tcPr>
          <w:p>
            <w:r>
              <w:rPr>
                <w:b/>
                <w:sz w:val="15"/>
              </w:rPr>
              <w:t xml:space="preserve">Кандидатов</w:t>
            </w:r>
          </w:p>
        </w:tc>
        <w:tc>
          <w:tcPr>
            <w:tcW w:w="1400" w:type="dxa"/>
            <w:shd w:val="clear" w:fill="EFEFEF"/>
          </w:tcPr>
          <w:p>
            <w:r>
              <w:rPr>
                <w:b/>
                <w:sz w:val="15"/>
              </w:rPr>
              <w:t xml:space="preserve">География кандидатов</w:t>
            </w:r>
          </w:p>
        </w:tc>
        <w:tc>
          <w:tcPr>
            <w:tcW w:w="2240" w:type="dxa"/>
            <w:shd w:val="clear" w:fill="EFEFEF"/>
          </w:tcPr>
          <w:p>
            <w:r>
              <w:rPr>
                <w:b/>
                <w:sz w:val="15"/>
              </w:rPr>
              <w:t xml:space="preserve">Статус запроса предложений</w:t>
            </w:r>
          </w:p>
        </w:tc>
        <w:tc>
          <w:tcPr>
            <w:tcW w:w="1554" w:type="dxa"/>
            <w:shd w:val="clear" w:fill="EFEFEF"/>
          </w:tcPr>
          <w:p>
            <w:r>
              <w:rPr>
                <w:b/>
                <w:sz w:val="15"/>
              </w:rPr>
              <w:t xml:space="preserve">Целевое число предложений</w:t>
            </w:r>
          </w:p>
        </w:tc>
      </w:tr>
      <w:tr>
        <w:trPr>
          <w:cantSplit/>
        </w:trPr>
        <w:tc>
          <w:tcPr>
            <w:tcW w:w="2350" w:type="dxa"/>
          </w:tcPr>
          <w:p>
            <w:r>
              <w:rPr>
                <w:sz w:val="15"/>
              </w:rPr>
              <w:t xml:space="preserve">Печь кипящего слоя 10–16 т/ч, кислородное дутьё</w:t>
            </w:r>
          </w:p>
        </w:tc>
        <w:tc>
          <w:tcPr>
            <w:tcW w:w="560" w:type="dxa"/>
          </w:tcPr>
          <w:p>
            <w:r>
              <w:rPr>
                <w:sz w:val="15"/>
              </w:rPr>
              <w:t xml:space="preserve">C</w:t>
            </w:r>
          </w:p>
        </w:tc>
        <w:tc>
          <w:tcPr>
            <w:tcW w:w="1250" w:type="dxa"/>
          </w:tcPr>
          <w:p>
            <w:r>
              <w:rPr>
                <w:sz w:val="15"/>
              </w:rPr>
              <w:t xml:space="preserve">6</w:t>
            </w:r>
          </w:p>
        </w:tc>
        <w:tc>
          <w:tcPr>
            <w:tcW w:w="1400" w:type="dxa"/>
          </w:tcPr>
          <w:p>
            <w:r>
              <w:rPr>
                <w:sz w:val="15"/>
              </w:rPr>
              <w:t xml:space="preserve">КНР — 6</w:t>
            </w:r>
          </w:p>
        </w:tc>
        <w:tc>
          <w:tcPr>
            <w:tcW w:w="2240" w:type="dxa"/>
          </w:tcPr>
          <w:p>
            <w:r>
              <w:rPr>
                <w:sz w:val="15"/>
              </w:rPr>
              <w:t xml:space="preserve">Комплект запроса № 01 подготовлен; рассылка по решению Заказчика</w:t>
            </w:r>
          </w:p>
        </w:tc>
        <w:tc>
          <w:tcPr>
            <w:tcW w:w="1554" w:type="dxa"/>
          </w:tcPr>
          <w:p>
            <w:r>
              <w:rPr>
                <w:sz w:val="15"/>
              </w:rPr>
              <w:t xml:space="preserve">не менее 3</w:t>
            </w:r>
          </w:p>
        </w:tc>
      </w:tr>
      <w:tr>
        <w:trPr>
          <w:cantSplit/>
        </w:trPr>
        <w:tc>
          <w:tcPr>
            <w:tcW w:w="2350" w:type="dxa"/>
          </w:tcPr>
          <w:p>
            <w:r>
              <w:rPr>
                <w:sz w:val="15"/>
              </w:rPr>
              <w:t xml:space="preserve">Котёл-утилизатор до 30 000 нм³/ч, пар 1,9 МПа / 375 °С</w:t>
            </w:r>
          </w:p>
        </w:tc>
        <w:tc>
          <w:tcPr>
            <w:tcW w:w="560" w:type="dxa"/>
          </w:tcPr>
          <w:p>
            <w:r>
              <w:rPr>
                <w:sz w:val="15"/>
              </w:rPr>
              <w:t xml:space="preserve">B</w:t>
            </w:r>
          </w:p>
        </w:tc>
        <w:tc>
          <w:tcPr>
            <w:tcW w:w="1250" w:type="dxa"/>
          </w:tcPr>
          <w:p>
            <w:r>
              <w:rPr>
                <w:sz w:val="15"/>
              </w:rPr>
              <w:t xml:space="preserve">5</w:t>
            </w:r>
          </w:p>
        </w:tc>
        <w:tc>
          <w:tcPr>
            <w:tcW w:w="1400" w:type="dxa"/>
          </w:tcPr>
          <w:p>
            <w:r>
              <w:rPr>
                <w:sz w:val="15"/>
              </w:rPr>
              <w:t xml:space="preserve">КНР — 3; Индия — 2</w:t>
            </w:r>
          </w:p>
        </w:tc>
        <w:tc>
          <w:tcPr>
            <w:tcW w:w="2240" w:type="dxa"/>
          </w:tcPr>
          <w:p>
            <w:r>
              <w:rPr>
                <w:sz w:val="15"/>
              </w:rPr>
              <w:t xml:space="preserve">Комплект запроса № 02 подготовлен; рассылка по решению Заказчика</w:t>
            </w:r>
          </w:p>
        </w:tc>
        <w:tc>
          <w:tcPr>
            <w:tcW w:w="1554" w:type="dxa"/>
          </w:tcPr>
          <w:p>
            <w:r>
              <w:rPr>
                <w:sz w:val="15"/>
              </w:rPr>
              <w:t xml:space="preserve">не менее 3</w:t>
            </w:r>
          </w:p>
        </w:tc>
      </w:tr>
      <w:tr>
        <w:trPr>
          <w:cantSplit/>
        </w:trPr>
        <w:tc>
          <w:tcPr>
            <w:tcW w:w="2350" w:type="dxa"/>
          </w:tcPr>
          <w:p>
            <w:r>
              <w:rPr>
                <w:sz w:val="15"/>
              </w:rPr>
              <w:t xml:space="preserve">Сухой электрофильтр до 57 600 м³/ч, 2 шт.</w:t>
            </w:r>
          </w:p>
        </w:tc>
        <w:tc>
          <w:tcPr>
            <w:tcW w:w="560" w:type="dxa"/>
          </w:tcPr>
          <w:p>
            <w:r>
              <w:rPr>
                <w:sz w:val="15"/>
              </w:rPr>
              <w:t xml:space="preserve">A</w:t>
            </w:r>
          </w:p>
        </w:tc>
        <w:tc>
          <w:tcPr>
            <w:tcW w:w="1250" w:type="dxa"/>
          </w:tcPr>
          <w:p>
            <w:r>
              <w:rPr>
                <w:sz w:val="15"/>
              </w:rPr>
              <w:t xml:space="preserve">7</w:t>
            </w:r>
          </w:p>
        </w:tc>
        <w:tc>
          <w:tcPr>
            <w:tcW w:w="1400" w:type="dxa"/>
          </w:tcPr>
          <w:p>
            <w:r>
              <w:rPr>
                <w:sz w:val="15"/>
              </w:rPr>
              <w:t xml:space="preserve">КНР — 3; Индия — 4</w:t>
            </w:r>
          </w:p>
        </w:tc>
        <w:tc>
          <w:tcPr>
            <w:tcW w:w="2240" w:type="dxa"/>
          </w:tcPr>
          <w:p>
            <w:r>
              <w:rPr>
                <w:sz w:val="15"/>
              </w:rPr>
              <w:t xml:space="preserve">Комплект запроса № 03 подготовлен; рассылка по решению Заказчика</w:t>
            </w:r>
          </w:p>
        </w:tc>
        <w:tc>
          <w:tcPr>
            <w:tcW w:w="1554" w:type="dxa"/>
          </w:tcPr>
          <w:p>
            <w:r>
              <w:rPr>
                <w:sz w:val="15"/>
              </w:rPr>
              <w:t xml:space="preserve">не менее 3</w:t>
            </w:r>
          </w:p>
        </w:tc>
      </w:tr>
      <w:tr>
        <w:trPr>
          <w:cantSplit/>
        </w:trPr>
        <w:tc>
          <w:tcPr>
            <w:tcW w:w="2350" w:type="dxa"/>
          </w:tcPr>
          <w:p>
            <w:r>
              <w:rPr>
                <w:sz w:val="15"/>
              </w:rPr>
              <w:t xml:space="preserve">Одиночный циклон до 32 000 м³/ч</w:t>
            </w:r>
          </w:p>
        </w:tc>
        <w:tc>
          <w:tcPr>
            <w:tcW w:w="560" w:type="dxa"/>
          </w:tcPr>
          <w:p>
            <w:r>
              <w:rPr>
                <w:sz w:val="15"/>
              </w:rPr>
              <w:t xml:space="preserve">A</w:t>
            </w:r>
          </w:p>
        </w:tc>
        <w:tc>
          <w:tcPr>
            <w:tcW w:w="1250" w:type="dxa"/>
          </w:tcPr>
          <w:p>
            <w:r>
              <w:rPr>
                <w:sz w:val="15"/>
              </w:rPr>
              <w:t xml:space="preserve">4</w:t>
            </w:r>
          </w:p>
        </w:tc>
        <w:tc>
          <w:tcPr>
            <w:tcW w:w="1400" w:type="dxa"/>
          </w:tcPr>
          <w:p>
            <w:r>
              <w:rPr>
                <w:sz w:val="15"/>
              </w:rPr>
              <w:t xml:space="preserve">КНР — 2; Индия — 2</w:t>
            </w:r>
          </w:p>
        </w:tc>
        <w:tc>
          <w:tcPr>
            <w:tcW w:w="2240" w:type="dxa"/>
          </w:tcPr>
          <w:p>
            <w:r>
              <w:rPr>
                <w:sz w:val="15"/>
              </w:rPr>
              <w:t xml:space="preserve">Комплект запроса № 04 подготовлен; рассылка по решению Заказчика</w:t>
            </w:r>
          </w:p>
        </w:tc>
        <w:tc>
          <w:tcPr>
            <w:tcW w:w="1554" w:type="dxa"/>
          </w:tcPr>
          <w:p>
            <w:r>
              <w:rPr>
                <w:sz w:val="15"/>
              </w:rPr>
              <w:t xml:space="preserve">не менее 3</w:t>
            </w:r>
          </w:p>
        </w:tc>
      </w:tr>
      <w:tr>
        <w:trPr>
          <w:cantSplit/>
        </w:trPr>
        <w:tc>
          <w:tcPr>
            <w:tcW w:w="2350" w:type="dxa"/>
          </w:tcPr>
          <w:p>
            <w:r>
              <w:rPr>
                <w:sz w:val="15"/>
              </w:rPr>
              <w:t xml:space="preserve">Дымососы до 78 000 м³/ч, 400 кВт / 6 кВ, 2 шт.</w:t>
            </w:r>
          </w:p>
        </w:tc>
        <w:tc>
          <w:tcPr>
            <w:tcW w:w="560" w:type="dxa"/>
          </w:tcPr>
          <w:p>
            <w:r>
              <w:rPr>
                <w:sz w:val="15"/>
              </w:rPr>
              <w:t xml:space="preserve">A</w:t>
            </w:r>
          </w:p>
        </w:tc>
        <w:tc>
          <w:tcPr>
            <w:tcW w:w="1250" w:type="dxa"/>
          </w:tcPr>
          <w:p>
            <w:r>
              <w:rPr>
                <w:sz w:val="15"/>
              </w:rPr>
              <w:t xml:space="preserve">6</w:t>
            </w:r>
          </w:p>
        </w:tc>
        <w:tc>
          <w:tcPr>
            <w:tcW w:w="1400" w:type="dxa"/>
          </w:tcPr>
          <w:p>
            <w:r>
              <w:rPr>
                <w:sz w:val="15"/>
              </w:rPr>
              <w:t xml:space="preserve">КНР — 6</w:t>
            </w:r>
          </w:p>
        </w:tc>
        <w:tc>
          <w:tcPr>
            <w:tcW w:w="2240" w:type="dxa"/>
          </w:tcPr>
          <w:p>
            <w:r>
              <w:rPr>
                <w:sz w:val="15"/>
              </w:rPr>
              <w:t xml:space="preserve">Комплект запроса № 05 подготовлен; рассылка по решению Заказчика</w:t>
            </w:r>
          </w:p>
        </w:tc>
        <w:tc>
          <w:tcPr>
            <w:tcW w:w="1554" w:type="dxa"/>
          </w:tcPr>
          <w:p>
            <w:r>
              <w:rPr>
                <w:sz w:val="15"/>
              </w:rPr>
              <w:t xml:space="preserve">не менее 3</w:t>
            </w:r>
          </w:p>
        </w:tc>
      </w:tr>
      <w:tr>
        <w:trPr>
          <w:cantSplit/>
        </w:trPr>
        <w:tc>
          <w:tcPr>
            <w:tcW w:w="2350" w:type="dxa"/>
          </w:tcPr>
          <w:p>
            <w:r>
              <w:rPr>
                <w:sz w:val="15"/>
              </w:rPr>
              <w:t xml:space="preserve">Рукавные фильтры аспирации с дымососами на свечу</w:t>
            </w:r>
          </w:p>
        </w:tc>
        <w:tc>
          <w:tcPr>
            <w:tcW w:w="560" w:type="dxa"/>
          </w:tcPr>
          <w:p>
            <w:r>
              <w:rPr>
                <w:sz w:val="15"/>
              </w:rPr>
              <w:t xml:space="preserve">A</w:t>
            </w:r>
          </w:p>
        </w:tc>
        <w:tc>
          <w:tcPr>
            <w:tcW w:w="1250" w:type="dxa"/>
          </w:tcPr>
          <w:p>
            <w:r>
              <w:rPr>
                <w:sz w:val="15"/>
              </w:rPr>
              <w:t xml:space="preserve">6</w:t>
            </w:r>
          </w:p>
        </w:tc>
        <w:tc>
          <w:tcPr>
            <w:tcW w:w="1400" w:type="dxa"/>
          </w:tcPr>
          <w:p>
            <w:r>
              <w:rPr>
                <w:sz w:val="15"/>
              </w:rPr>
              <w:t xml:space="preserve">КНР — 3; Индия — 3</w:t>
            </w:r>
          </w:p>
        </w:tc>
        <w:tc>
          <w:tcPr>
            <w:tcW w:w="2240" w:type="dxa"/>
          </w:tcPr>
          <w:p>
            <w:r>
              <w:rPr>
                <w:sz w:val="15"/>
              </w:rPr>
              <w:t xml:space="preserve">Комплект запроса № 06 подготовлен; рассылка по решению Заказчика</w:t>
            </w:r>
          </w:p>
        </w:tc>
        <w:tc>
          <w:tcPr>
            <w:tcW w:w="1554" w:type="dxa"/>
          </w:tcPr>
          <w:p>
            <w:r>
              <w:rPr>
                <w:sz w:val="15"/>
              </w:rPr>
              <w:t xml:space="preserve">не менее 3</w:t>
            </w:r>
          </w:p>
        </w:tc>
      </w:tr>
      <w:tr>
        <w:trPr>
          <w:cantSplit/>
        </w:trPr>
        <w:tc>
          <w:tcPr>
            <w:tcW w:w="2350" w:type="dxa"/>
          </w:tcPr>
          <w:p>
            <w:r>
              <w:rPr>
                <w:sz w:val="15"/>
              </w:rPr>
              <w:t xml:space="preserve">Барабанные вакуум-фильтры пульпы медного концентрата</w:t>
            </w:r>
          </w:p>
        </w:tc>
        <w:tc>
          <w:tcPr>
            <w:tcW w:w="560" w:type="dxa"/>
          </w:tcPr>
          <w:p>
            <w:r>
              <w:rPr>
                <w:sz w:val="15"/>
              </w:rPr>
              <w:t xml:space="preserve">A</w:t>
            </w:r>
          </w:p>
        </w:tc>
        <w:tc>
          <w:tcPr>
            <w:tcW w:w="1250" w:type="dxa"/>
          </w:tcPr>
          <w:p>
            <w:r>
              <w:rPr>
                <w:sz w:val="15"/>
              </w:rPr>
              <w:t xml:space="preserve">6</w:t>
            </w:r>
          </w:p>
        </w:tc>
        <w:tc>
          <w:tcPr>
            <w:tcW w:w="1400" w:type="dxa"/>
          </w:tcPr>
          <w:p>
            <w:r>
              <w:rPr>
                <w:sz w:val="15"/>
              </w:rPr>
              <w:t xml:space="preserve">КНР — 6</w:t>
            </w:r>
          </w:p>
        </w:tc>
        <w:tc>
          <w:tcPr>
            <w:tcW w:w="2240" w:type="dxa"/>
          </w:tcPr>
          <w:p>
            <w:r>
              <w:rPr>
                <w:sz w:val="15"/>
              </w:rPr>
              <w:t xml:space="preserve">Комплект запроса № 07 подготовлен; рассылка по решению Заказчика</w:t>
            </w:r>
          </w:p>
        </w:tc>
        <w:tc>
          <w:tcPr>
            <w:tcW w:w="1554" w:type="dxa"/>
          </w:tcPr>
          <w:p>
            <w:r>
              <w:rPr>
                <w:sz w:val="15"/>
              </w:rPr>
              <w:t xml:space="preserve">не менее 3</w:t>
            </w:r>
          </w:p>
        </w:tc>
      </w:tr>
      <w:tr>
        <w:trPr>
          <w:cantSplit/>
        </w:trPr>
        <w:tc>
          <w:tcPr>
            <w:tcW w:w="2350" w:type="dxa"/>
          </w:tcPr>
          <w:p>
            <w:r>
              <w:rPr>
                <w:sz w:val="15"/>
              </w:rPr>
              <w:t xml:space="preserve">Оборудование шихтоподготовки: питатели, весовые дозаторы, смеситель, ленточные конвейеры</w:t>
            </w:r>
          </w:p>
        </w:tc>
        <w:tc>
          <w:tcPr>
            <w:tcW w:w="560" w:type="dxa"/>
          </w:tcPr>
          <w:p>
            <w:r>
              <w:rPr>
                <w:sz w:val="15"/>
              </w:rPr>
              <w:t xml:space="preserve">A</w:t>
            </w:r>
          </w:p>
        </w:tc>
        <w:tc>
          <w:tcPr>
            <w:tcW w:w="1250" w:type="dxa"/>
          </w:tcPr>
          <w:p>
            <w:r>
              <w:rPr>
                <w:sz w:val="15"/>
              </w:rPr>
              <w:t xml:space="preserve">5</w:t>
            </w:r>
          </w:p>
        </w:tc>
        <w:tc>
          <w:tcPr>
            <w:tcW w:w="1400" w:type="dxa"/>
          </w:tcPr>
          <w:p>
            <w:r>
              <w:rPr>
                <w:sz w:val="15"/>
              </w:rPr>
              <w:t xml:space="preserve">КНР — 5</w:t>
            </w:r>
          </w:p>
        </w:tc>
        <w:tc>
          <w:tcPr>
            <w:tcW w:w="2240" w:type="dxa"/>
          </w:tcPr>
          <w:p>
            <w:r>
              <w:rPr>
                <w:sz w:val="15"/>
              </w:rPr>
              <w:t xml:space="preserve">Комплект запроса № 08 подготовлен; рассылка по решению Заказчика</w:t>
            </w:r>
          </w:p>
        </w:tc>
        <w:tc>
          <w:tcPr>
            <w:tcW w:w="1554" w:type="dxa"/>
          </w:tcPr>
          <w:p>
            <w:r>
              <w:rPr>
                <w:sz w:val="15"/>
              </w:rPr>
              <w:t xml:space="preserve">не менее 3</w:t>
            </w:r>
          </w:p>
        </w:tc>
      </w:tr>
      <w:tr>
        <w:trPr>
          <w:cantSplit/>
        </w:trPr>
        <w:tc>
          <w:tcPr>
            <w:tcW w:w="2350" w:type="dxa"/>
          </w:tcPr>
          <w:p>
            <w:r>
              <w:rPr>
                <w:sz w:val="15"/>
              </w:rPr>
              <w:t xml:space="preserve">Мазутные горелки ГМ-4,5 и МГМГ-10</w:t>
            </w:r>
          </w:p>
        </w:tc>
        <w:tc>
          <w:tcPr>
            <w:tcW w:w="560" w:type="dxa"/>
          </w:tcPr>
          <w:p>
            <w:r>
              <w:rPr>
                <w:sz w:val="15"/>
              </w:rPr>
              <w:t xml:space="preserve">A</w:t>
            </w:r>
          </w:p>
        </w:tc>
        <w:tc>
          <w:tcPr>
            <w:tcW w:w="1250" w:type="dxa"/>
          </w:tcPr>
          <w:p>
            <w:r>
              <w:rPr>
                <w:sz w:val="15"/>
              </w:rPr>
              <w:t xml:space="preserve">6</w:t>
            </w:r>
          </w:p>
        </w:tc>
        <w:tc>
          <w:tcPr>
            <w:tcW w:w="1400" w:type="dxa"/>
          </w:tcPr>
          <w:p>
            <w:r>
              <w:rPr>
                <w:sz w:val="15"/>
              </w:rPr>
              <w:t xml:space="preserve">КНР — 2; Россия — 2; Индия — 1; Турция — 1</w:t>
            </w:r>
          </w:p>
        </w:tc>
        <w:tc>
          <w:tcPr>
            <w:tcW w:w="2240" w:type="dxa"/>
          </w:tcPr>
          <w:p>
            <w:r>
              <w:rPr>
                <w:sz w:val="15"/>
              </w:rPr>
              <w:t xml:space="preserve">Комплект запроса № 09 подготовлен; рассылка по решению Заказчика</w:t>
            </w:r>
          </w:p>
        </w:tc>
        <w:tc>
          <w:tcPr>
            <w:tcW w:w="1554" w:type="dxa"/>
          </w:tcPr>
          <w:p>
            <w:r>
              <w:rPr>
                <w:sz w:val="15"/>
              </w:rPr>
              <w:t xml:space="preserve">не менее 3</w:t>
            </w:r>
          </w:p>
        </w:tc>
      </w:tr>
      <w:tr>
        <w:trPr>
          <w:cantSplit/>
        </w:trPr>
        <w:tc>
          <w:tcPr>
            <w:tcW w:w="2350" w:type="dxa"/>
          </w:tcPr>
          <w:p>
            <w:r>
              <w:rPr>
                <w:sz w:val="15"/>
              </w:rPr>
              <w:t xml:space="preserve">Программируемые логические контроллеры и система диспетчерского управления (позиция, общая для всех лотов)</w:t>
            </w:r>
          </w:p>
        </w:tc>
        <w:tc>
          <w:tcPr>
            <w:tcW w:w="560" w:type="dxa"/>
          </w:tcPr>
          <w:p>
            <w:r>
              <w:rPr>
                <w:sz w:val="15"/>
              </w:rPr>
              <w:t xml:space="preserve">A</w:t>
            </w:r>
          </w:p>
        </w:tc>
        <w:tc>
          <w:tcPr>
            <w:tcW w:w="1250" w:type="dxa"/>
          </w:tcPr>
          <w:p>
            <w:r>
              <w:rPr>
                <w:sz w:val="15"/>
              </w:rPr>
              <w:t xml:space="preserve">5</w:t>
            </w:r>
          </w:p>
        </w:tc>
        <w:tc>
          <w:tcPr>
            <w:tcW w:w="1400" w:type="dxa"/>
          </w:tcPr>
          <w:p>
            <w:r>
              <w:rPr>
                <w:sz w:val="15"/>
              </w:rPr>
              <w:t xml:space="preserve">Россия — 5</w:t>
            </w:r>
          </w:p>
        </w:tc>
        <w:tc>
          <w:tcPr>
            <w:tcW w:w="2240" w:type="dxa"/>
          </w:tcPr>
          <w:p>
            <w:r>
              <w:rPr>
                <w:sz w:val="15"/>
              </w:rPr>
              <w:t xml:space="preserve">Комплект запроса № 26 подготовлен; рассылка по решению Заказчика</w:t>
            </w:r>
          </w:p>
        </w:tc>
        <w:tc>
          <w:tcPr>
            <w:tcW w:w="1554" w:type="dxa"/>
          </w:tcPr>
          <w:p>
            <w:r>
              <w:rPr>
                <w:sz w:val="15"/>
              </w:rPr>
              <w:t xml:space="preserve">не менее 3</w:t>
            </w:r>
          </w:p>
        </w:tc>
      </w:tr>
      <w:tr>
        <w:trPr>
          <w:cantSplit/>
        </w:trPr>
        <w:tc>
          <w:tcPr>
            <w:tcW w:w="2350" w:type="dxa"/>
          </w:tcPr>
          <w:p>
            <w:r>
              <w:rPr>
                <w:sz w:val="15"/>
              </w:rPr>
              <w:t xml:space="preserve">Приборы контроля: давление, расход, уровень, температура, плотность, газовый состав (позиция, общая для всех лотов)</w:t>
            </w:r>
          </w:p>
        </w:tc>
        <w:tc>
          <w:tcPr>
            <w:tcW w:w="560" w:type="dxa"/>
          </w:tcPr>
          <w:p>
            <w:r>
              <w:rPr>
                <w:sz w:val="15"/>
              </w:rPr>
              <w:t xml:space="preserve">A</w:t>
            </w:r>
          </w:p>
        </w:tc>
        <w:tc>
          <w:tcPr>
            <w:tcW w:w="1250" w:type="dxa"/>
          </w:tcPr>
          <w:p>
            <w:r>
              <w:rPr>
                <w:sz w:val="15"/>
              </w:rPr>
              <w:t xml:space="preserve">12</w:t>
            </w:r>
          </w:p>
        </w:tc>
        <w:tc>
          <w:tcPr>
            <w:tcW w:w="1400" w:type="dxa"/>
          </w:tcPr>
          <w:p>
            <w:r>
              <w:rPr>
                <w:sz w:val="15"/>
              </w:rPr>
              <w:t xml:space="preserve">Россия — 12</w:t>
            </w:r>
          </w:p>
        </w:tc>
        <w:tc>
          <w:tcPr>
            <w:tcW w:w="2240" w:type="dxa"/>
          </w:tcPr>
          <w:p>
            <w:r>
              <w:rPr>
                <w:sz w:val="15"/>
              </w:rPr>
              <w:t xml:space="preserve">Комплект запроса № 27 подготовлен; рассылка по решению Заказчика</w:t>
            </w:r>
          </w:p>
        </w:tc>
        <w:tc>
          <w:tcPr>
            <w:tcW w:w="1554" w:type="dxa"/>
          </w:tcPr>
          <w:p>
            <w:r>
              <w:rPr>
                <w:sz w:val="15"/>
              </w:rPr>
              <w:t xml:space="preserve">не менее 3</w:t>
            </w:r>
          </w:p>
        </w:tc>
      </w:tr>
      <w:tr>
        <w:trPr>
          <w:cantSplit/>
        </w:trPr>
        <w:tc>
          <w:tcPr>
            <w:tcW w:w="2350" w:type="dxa"/>
          </w:tcPr>
          <w:p>
            <w:r>
              <w:rPr>
                <w:sz w:val="15"/>
              </w:rPr>
              <w:t xml:space="preserve">Шнековые холодильники огарка и пылей</w:t>
            </w:r>
          </w:p>
        </w:tc>
        <w:tc>
          <w:tcPr>
            <w:tcW w:w="560" w:type="dxa"/>
          </w:tcPr>
          <w:p>
            <w:r>
              <w:rPr>
                <w:sz w:val="15"/>
              </w:rPr>
              <w:t xml:space="preserve">—</w:t>
            </w:r>
          </w:p>
        </w:tc>
        <w:tc>
          <w:tcPr>
            <w:tcW w:w="1250" w:type="dxa"/>
          </w:tcPr>
          <w:p>
            <w:r>
              <w:rPr>
                <w:sz w:val="15"/>
              </w:rPr>
              <w:t xml:space="preserve">формируется</w:t>
            </w:r>
          </w:p>
        </w:tc>
        <w:tc>
          <w:tcPr>
            <w:tcW w:w="1400" w:type="dxa"/>
          </w:tcPr>
          <w:p>
            <w:r>
              <w:rPr>
                <w:sz w:val="15"/>
              </w:rPr>
              <w:t xml:space="preserve">формируется</w:t>
            </w:r>
          </w:p>
        </w:tc>
        <w:tc>
          <w:tcPr>
            <w:tcW w:w="2240" w:type="dxa"/>
          </w:tcPr>
          <w:p>
            <w:r>
              <w:rPr>
                <w:sz w:val="15"/>
              </w:rPr>
              <w:t xml:space="preserve">Перечень адресатов формируется по опросному листу</w:t>
            </w:r>
          </w:p>
        </w:tc>
        <w:tc>
          <w:tcPr>
            <w:tcW w:w="1554" w:type="dxa"/>
          </w:tcPr>
          <w:p>
            <w:r>
              <w:rPr>
                <w:sz w:val="15"/>
              </w:rPr>
              <w:t xml:space="preserve">не менее 3</w:t>
            </w:r>
          </w:p>
        </w:tc>
      </w:tr>
      <w:tr>
        <w:trPr>
          <w:cantSplit/>
        </w:trPr>
        <w:tc>
          <w:tcPr>
            <w:tcW w:w="2350" w:type="dxa"/>
          </w:tcPr>
          <w:p>
            <w:r>
              <w:rPr>
                <w:sz w:val="15"/>
              </w:rPr>
              <w:t xml:space="preserve">Силосы огарка и тонкой пыли с узлом налива автотранспорта</w:t>
            </w:r>
          </w:p>
        </w:tc>
        <w:tc>
          <w:tcPr>
            <w:tcW w:w="560" w:type="dxa"/>
          </w:tcPr>
          <w:p>
            <w:r>
              <w:rPr>
                <w:sz w:val="15"/>
              </w:rPr>
              <w:t xml:space="preserve">—</w:t>
            </w:r>
          </w:p>
        </w:tc>
        <w:tc>
          <w:tcPr>
            <w:tcW w:w="1250" w:type="dxa"/>
          </w:tcPr>
          <w:p>
            <w:r>
              <w:rPr>
                <w:sz w:val="15"/>
              </w:rPr>
              <w:t xml:space="preserve">формируется</w:t>
            </w:r>
          </w:p>
        </w:tc>
        <w:tc>
          <w:tcPr>
            <w:tcW w:w="1400" w:type="dxa"/>
          </w:tcPr>
          <w:p>
            <w:r>
              <w:rPr>
                <w:sz w:val="15"/>
              </w:rPr>
              <w:t xml:space="preserve">формируется</w:t>
            </w:r>
          </w:p>
        </w:tc>
        <w:tc>
          <w:tcPr>
            <w:tcW w:w="2240" w:type="dxa"/>
          </w:tcPr>
          <w:p>
            <w:r>
              <w:rPr>
                <w:sz w:val="15"/>
              </w:rPr>
              <w:t xml:space="preserve">Перечень адресатов формируется по опросному листу</w:t>
            </w:r>
          </w:p>
        </w:tc>
        <w:tc>
          <w:tcPr>
            <w:tcW w:w="1554" w:type="dxa"/>
          </w:tcPr>
          <w:p>
            <w:r>
              <w:rPr>
                <w:sz w:val="15"/>
              </w:rPr>
              <w:t xml:space="preserve">не менее 3</w:t>
            </w:r>
          </w:p>
        </w:tc>
      </w:tr>
      <w:tr>
        <w:trPr>
          <w:cantSplit/>
        </w:trPr>
        <w:tc>
          <w:tcPr>
            <w:tcW w:w="2350" w:type="dxa"/>
          </w:tcPr>
          <w:p>
            <w:r>
              <w:rPr>
                <w:sz w:val="15"/>
              </w:rPr>
              <w:t xml:space="preserve">Станция растаривания мягких контейнеров</w:t>
            </w:r>
          </w:p>
        </w:tc>
        <w:tc>
          <w:tcPr>
            <w:tcW w:w="560" w:type="dxa"/>
          </w:tcPr>
          <w:p>
            <w:r>
              <w:rPr>
                <w:sz w:val="15"/>
              </w:rPr>
              <w:t xml:space="preserve">—</w:t>
            </w:r>
          </w:p>
        </w:tc>
        <w:tc>
          <w:tcPr>
            <w:tcW w:w="1250" w:type="dxa"/>
          </w:tcPr>
          <w:p>
            <w:r>
              <w:rPr>
                <w:sz w:val="15"/>
              </w:rPr>
              <w:t xml:space="preserve">формируется</w:t>
            </w:r>
          </w:p>
        </w:tc>
        <w:tc>
          <w:tcPr>
            <w:tcW w:w="1400" w:type="dxa"/>
          </w:tcPr>
          <w:p>
            <w:r>
              <w:rPr>
                <w:sz w:val="15"/>
              </w:rPr>
              <w:t xml:space="preserve">формируется</w:t>
            </w:r>
          </w:p>
        </w:tc>
        <w:tc>
          <w:tcPr>
            <w:tcW w:w="2240" w:type="dxa"/>
          </w:tcPr>
          <w:p>
            <w:r>
              <w:rPr>
                <w:sz w:val="15"/>
              </w:rPr>
              <w:t xml:space="preserve">Перечень адресатов формируется по опросному листу</w:t>
            </w:r>
          </w:p>
        </w:tc>
        <w:tc>
          <w:tcPr>
            <w:tcW w:w="1554" w:type="dxa"/>
          </w:tcPr>
          <w:p>
            <w:r>
              <w:rPr>
                <w:sz w:val="15"/>
              </w:rPr>
              <w:t xml:space="preserve">не менее 3</w:t>
            </w:r>
          </w:p>
        </w:tc>
      </w:tr>
    </w:tbl>
    <w:p>
      <w:r>
        <w:rPr>
          <w:color w:val="555555"/>
          <w:sz w:val="18"/>
        </w:rPr>
        <w:t xml:space="preserve">По части позиций справочник не называет отдельных российских изготовителей и отсылает к отраслевому типоразмерному ряду либо к утверждённому перечню Приложения №5 к Техническому заданию, а по подъёмно-транспортному оборудованию — к модернизации оборудования Заказчика: сухой электрофильтр до 57 600 м³/ч, 2 шт; одиночный циклон до 32 000 м³/ч; дымососы до 78 000 м³/ч, 400 кВт / 6 кВ, 2 шт; рукавные фильтры аспирации с дымососами на свечу; оборудование шихтоподготовки: питатели, весовые дозаторы, смеситель, ленточные конвейеры; мазутные горелки ГМ-4,5 и МГМГ-10. По этим позициям перечень российских изготовителей уточняется при согласовании адресатов запроса.</w:t>
      </w:r>
    </w:p>
    <w:p>
      <w:r>
        <w:rPr>
          <w:color w:val="555555"/>
          <w:sz w:val="18"/>
        </w:rPr>
        <w:t xml:space="preserve">Графа «Целевое число предложений» задаёт число сопоставимых предложений, принимаемых к оценке по позиции. Предложения, не отвечающие правилам раздела 4.4, в это число не засчитываются.</w:t>
      </w:r>
    </w:p>
    <w:p>
      <w:pPr>
        <w:pStyle w:val="Heading2"/>
      </w:pPr>
      <w:r>
        <w:rPr>
          <w:b/>
          <w:sz w:val="24"/>
        </w:rPr>
        <w:t xml:space="preserve">3.3 Позиции, по которым перечень адресатов формируется</w:t>
      </w:r>
    </w:p>
    <w:p>
      <w:r>
        <w:rPr>
          <w:sz w:val="20"/>
        </w:rPr>
        <w:t xml:space="preserve">По перечисленным ниже позициям справочник изготовителей на момент выпуска настоящей ревизии не сформирован: перечень адресатов запроса составляется после выпуска опросных листов, определяющих исполнение и комплектность позиции.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3000"/>
        <w:gridCol w:w="6354"/>
      </w:tblGrid>
      <w:tr>
        <w:trPr>
          <w:tblHeader/>
          <w:cantSplit/>
        </w:trPr>
        <w:tc>
          <w:tcPr>
            <w:tcW w:w="3000" w:type="dxa"/>
            <w:shd w:val="clear" w:fill="EFEFEF"/>
          </w:tcPr>
          <w:p>
            <w:r>
              <w:rPr>
                <w:b/>
                <w:sz w:val="15"/>
              </w:rPr>
              <w:t xml:space="preserve">Позиция</w:t>
            </w:r>
          </w:p>
        </w:tc>
        <w:tc>
          <w:tcPr>
            <w:tcW w:w="6354" w:type="dxa"/>
            <w:shd w:val="clear" w:fill="EFEFEF"/>
          </w:tcPr>
          <w:p>
            <w:r>
              <w:rPr>
                <w:b/>
                <w:sz w:val="15"/>
              </w:rPr>
              <w:t xml:space="preserve">Порядок работы с позицией</w:t>
            </w:r>
          </w:p>
        </w:tc>
      </w:tr>
      <w:tr>
        <w:trPr>
          <w:cantSplit/>
        </w:trPr>
        <w:tc>
          <w:tcPr>
            <w:tcW w:w="3000" w:type="dxa"/>
          </w:tcPr>
          <w:p>
            <w:r>
              <w:rPr>
                <w:sz w:val="17"/>
              </w:rPr>
              <w:t xml:space="preserve">Шнековые холодильники огарка и пылей</w:t>
            </w:r>
          </w:p>
        </w:tc>
        <w:tc>
          <w:tcPr>
            <w:tcW w:w="6354" w:type="dxa"/>
          </w:tcPr>
          <w:p>
            <w:r>
              <w:rPr>
                <w:sz w:val="17"/>
              </w:rPr>
              <w:t xml:space="preserve">Позиция закрывается изготовителями транспортно-технологического оборудования; перечень адресатов формируется по опросному листу</w:t>
            </w:r>
          </w:p>
        </w:tc>
      </w:tr>
      <w:tr>
        <w:trPr>
          <w:cantSplit/>
        </w:trPr>
        <w:tc>
          <w:tcPr>
            <w:tcW w:w="3000" w:type="dxa"/>
          </w:tcPr>
          <w:p>
            <w:r>
              <w:rPr>
                <w:sz w:val="17"/>
              </w:rPr>
              <w:t xml:space="preserve">Силосы огарка и тонкой пыли с узлом налива автотранспорта</w:t>
            </w:r>
          </w:p>
        </w:tc>
        <w:tc>
          <w:tcPr>
            <w:tcW w:w="6354" w:type="dxa"/>
          </w:tcPr>
          <w:p>
            <w:r>
              <w:rPr>
                <w:sz w:val="17"/>
              </w:rPr>
              <w:t xml:space="preserve">Перечень адресатов формируется по опросному листу; изготовители силосного оборудования и автоцистерн-цементовозов</w:t>
            </w:r>
          </w:p>
        </w:tc>
      </w:tr>
      <w:tr>
        <w:trPr>
          <w:cantSplit/>
        </w:trPr>
        <w:tc>
          <w:tcPr>
            <w:tcW w:w="3000" w:type="dxa"/>
          </w:tcPr>
          <w:p>
            <w:r>
              <w:rPr>
                <w:sz w:val="17"/>
              </w:rPr>
              <w:t xml:space="preserve">Станция растаривания мягких контейнеров</w:t>
            </w:r>
          </w:p>
        </w:tc>
        <w:tc>
          <w:tcPr>
            <w:tcW w:w="6354" w:type="dxa"/>
          </w:tcPr>
          <w:p>
            <w:r>
              <w:rPr>
                <w:sz w:val="17"/>
              </w:rPr>
              <w:t xml:space="preserve">Перечень адресатов формируется по опросному листу</w:t>
            </w:r>
          </w:p>
        </w:tc>
      </w:tr>
    </w:tbl>
    <w:p>
      <w:pPr>
        <w:pStyle w:val="Heading2"/>
      </w:pPr>
      <w:r>
        <w:rPr>
          <w:b/>
          <w:sz w:val="24"/>
        </w:rPr>
        <w:t xml:space="preserve">3.4 Предмет подтверждения в предложении</w:t>
      </w:r>
    </w:p>
    <w:p>
      <w:r>
        <w:rPr>
          <w:sz w:val="20"/>
        </w:rPr>
        <w:t xml:space="preserve">По каждой позиции в запросе задан предмет обязательного подтверждения — техническое обстоятельство, определяющее сопоставимость предложений и пригодность оборудования для заданных условий. Предложение без подтверждения по этой графе к оценке не принимается.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2700"/>
        <w:gridCol w:w="6654"/>
      </w:tblGrid>
      <w:tr>
        <w:trPr>
          <w:tblHeader/>
          <w:cantSplit/>
        </w:trPr>
        <w:tc>
          <w:tcPr>
            <w:tcW w:w="2700" w:type="dxa"/>
            <w:shd w:val="clear" w:fill="EFEFEF"/>
          </w:tcPr>
          <w:p>
            <w:r>
              <w:rPr>
                <w:b/>
                <w:sz w:val="15"/>
              </w:rPr>
              <w:t xml:space="preserve">Закупочная позиция</w:t>
            </w:r>
          </w:p>
        </w:tc>
        <w:tc>
          <w:tcPr>
            <w:tcW w:w="6654" w:type="dxa"/>
            <w:shd w:val="clear" w:fill="EFEFEF"/>
          </w:tcPr>
          <w:p>
            <w:r>
              <w:rPr>
                <w:b/>
                <w:sz w:val="15"/>
              </w:rPr>
              <w:t xml:space="preserve">Предмет подтверждения в предложении</w:t>
            </w:r>
          </w:p>
        </w:tc>
      </w:tr>
      <w:tr>
        <w:trPr>
          <w:cantSplit/>
        </w:trPr>
        <w:tc>
          <w:tcPr>
            <w:tcW w:w="2700" w:type="dxa"/>
          </w:tcPr>
          <w:p>
            <w:r>
              <w:rPr>
                <w:sz w:val="17"/>
              </w:rPr>
              <w:t xml:space="preserve">Печь кипящего слоя 10–16 т/ч, кислородное дутьё</w:t>
            </w:r>
          </w:p>
        </w:tc>
        <w:tc>
          <w:tcPr>
            <w:tcW w:w="6654" w:type="dxa"/>
          </w:tcPr>
          <w:p>
            <w:r>
              <w:rPr>
                <w:sz w:val="17"/>
              </w:rPr>
              <w:t xml:space="preserve">Подтверждённый опыт сульфатизирующего обжига медного сырья в кипящем слое (не окислительного обжига цинковых концентратов); подтверждение работы на дутье с содержанием кислорода 96 %.</w:t>
            </w:r>
          </w:p>
        </w:tc>
      </w:tr>
      <w:tr>
        <w:trPr>
          <w:cantSplit/>
        </w:trPr>
        <w:tc>
          <w:tcPr>
            <w:tcW w:w="2700" w:type="dxa"/>
          </w:tcPr>
          <w:p>
            <w:r>
              <w:rPr>
                <w:sz w:val="17"/>
              </w:rPr>
              <w:t xml:space="preserve">Котёл-утилизатор до 30 000 нм³/ч, пар 1,9 МПа / 375 °С</w:t>
            </w:r>
          </w:p>
        </w:tc>
        <w:tc>
          <w:tcPr>
            <w:tcW w:w="6654" w:type="dxa"/>
          </w:tcPr>
          <w:p>
            <w:r>
              <w:rPr>
                <w:sz w:val="17"/>
              </w:rPr>
              <w:t xml:space="preserve">Опыт поставки котлов-утилизаторов за печью кипящего слоя цветной металлургии с пылевым режимом работы; наличие проектных проработок под заданные параметры.</w:t>
            </w:r>
          </w:p>
        </w:tc>
      </w:tr>
      <w:tr>
        <w:trPr>
          <w:cantSplit/>
        </w:trPr>
        <w:tc>
          <w:tcPr>
            <w:tcW w:w="2700" w:type="dxa"/>
          </w:tcPr>
          <w:p>
            <w:r>
              <w:rPr>
                <w:sz w:val="17"/>
              </w:rPr>
              <w:t xml:space="preserve">Сухой электрофильтр до 57 600 м³/ч, 2 шт.</w:t>
            </w:r>
          </w:p>
        </w:tc>
        <w:tc>
          <w:tcPr>
            <w:tcW w:w="6654" w:type="dxa"/>
          </w:tcPr>
          <w:p>
            <w:r>
              <w:rPr>
                <w:sz w:val="17"/>
              </w:rPr>
              <w:t xml:space="preserve">Гарантируемая остаточная запылённость на выходе; исполнение под сернистые газы с учётом температуры точки росы.</w:t>
            </w:r>
          </w:p>
        </w:tc>
      </w:tr>
      <w:tr>
        <w:trPr>
          <w:cantSplit/>
        </w:trPr>
        <w:tc>
          <w:tcPr>
            <w:tcW w:w="2700" w:type="dxa"/>
          </w:tcPr>
          <w:p>
            <w:r>
              <w:rPr>
                <w:sz w:val="17"/>
              </w:rPr>
              <w:t xml:space="preserve">Одиночный циклон до 32 000 м³/ч</w:t>
            </w:r>
          </w:p>
        </w:tc>
        <w:tc>
          <w:tcPr>
            <w:tcW w:w="6654" w:type="dxa"/>
          </w:tcPr>
          <w:p>
            <w:r>
              <w:rPr>
                <w:sz w:val="17"/>
              </w:rPr>
              <w:t xml:space="preserve">Подтверждение типоразмера и коэффициента полезного действия по фракционному составу пыли обжига.</w:t>
            </w:r>
          </w:p>
        </w:tc>
      </w:tr>
      <w:tr>
        <w:trPr>
          <w:cantSplit/>
        </w:trPr>
        <w:tc>
          <w:tcPr>
            <w:tcW w:w="2700" w:type="dxa"/>
          </w:tcPr>
          <w:p>
            <w:r>
              <w:rPr>
                <w:sz w:val="17"/>
              </w:rPr>
              <w:t xml:space="preserve">Дымососы до 78 000 м³/ч, 400 кВт / 6 кВ, 2 шт.</w:t>
            </w:r>
          </w:p>
        </w:tc>
        <w:tc>
          <w:tcPr>
            <w:tcW w:w="6654" w:type="dxa"/>
          </w:tcPr>
          <w:p>
            <w:r>
              <w:rPr>
                <w:sz w:val="17"/>
              </w:rPr>
              <w:t xml:space="preserve">Комплектация электроприводом 6 кВ и системой регулирования производительности</w:t>
            </w:r>
          </w:p>
        </w:tc>
      </w:tr>
      <w:tr>
        <w:trPr>
          <w:cantSplit/>
        </w:trPr>
        <w:tc>
          <w:tcPr>
            <w:tcW w:w="2700" w:type="dxa"/>
          </w:tcPr>
          <w:p>
            <w:r>
              <w:rPr>
                <w:sz w:val="17"/>
              </w:rPr>
              <w:t xml:space="preserve">Рукавные фильтры аспирации с дымососами на свечу</w:t>
            </w:r>
          </w:p>
        </w:tc>
        <w:tc>
          <w:tcPr>
            <w:tcW w:w="6654" w:type="dxa"/>
          </w:tcPr>
          <w:p>
            <w:r>
              <w:rPr>
                <w:sz w:val="17"/>
              </w:rPr>
              <w:t xml:space="preserve">Гарантируемый качественный состав и количество выбросов на свечу — требование Технического задания.</w:t>
            </w:r>
          </w:p>
        </w:tc>
      </w:tr>
      <w:tr>
        <w:trPr>
          <w:cantSplit/>
        </w:trPr>
        <w:tc>
          <w:tcPr>
            <w:tcW w:w="2700" w:type="dxa"/>
          </w:tcPr>
          <w:p>
            <w:r>
              <w:rPr>
                <w:sz w:val="17"/>
              </w:rPr>
              <w:t xml:space="preserve">Барабанные вакуум-фильтры пульпы медного концентрата</w:t>
            </w:r>
          </w:p>
        </w:tc>
        <w:tc>
          <w:tcPr>
            <w:tcW w:w="6654" w:type="dxa"/>
          </w:tcPr>
          <w:p>
            <w:r>
              <w:rPr>
                <w:sz w:val="17"/>
              </w:rPr>
              <w:t xml:space="preserve">Гарантия влажности кека 10 % при крупности концентрата 25,5 мкм и содержании твёрдого в питании 70 %.</w:t>
            </w:r>
          </w:p>
        </w:tc>
      </w:tr>
      <w:tr>
        <w:trPr>
          <w:cantSplit/>
        </w:trPr>
        <w:tc>
          <w:tcPr>
            <w:tcW w:w="2700" w:type="dxa"/>
          </w:tcPr>
          <w:p>
            <w:r>
              <w:rPr>
                <w:sz w:val="17"/>
              </w:rPr>
              <w:t xml:space="preserve">Оборудование шихтоподготовки: питатели, весовые дозаторы, смеситель, ленточные конвейеры</w:t>
            </w:r>
          </w:p>
        </w:tc>
        <w:tc>
          <w:tcPr>
            <w:tcW w:w="6654" w:type="dxa"/>
          </w:tcPr>
          <w:p>
            <w:r>
              <w:rPr>
                <w:sz w:val="17"/>
              </w:rPr>
              <w:t xml:space="preserve">Исполнение из нержавеющей стали на линиях цементной меди и шихты, её содержащей</w:t>
            </w:r>
          </w:p>
        </w:tc>
      </w:tr>
      <w:tr>
        <w:trPr>
          <w:cantSplit/>
        </w:trPr>
        <w:tc>
          <w:tcPr>
            <w:tcW w:w="2700" w:type="dxa"/>
          </w:tcPr>
          <w:p>
            <w:r>
              <w:rPr>
                <w:sz w:val="17"/>
              </w:rPr>
              <w:t xml:space="preserve">Мазутные горелки ГМ-4,5 и МГМГ-10</w:t>
            </w:r>
          </w:p>
        </w:tc>
        <w:tc>
          <w:tcPr>
            <w:tcW w:w="6654" w:type="dxa"/>
          </w:tcPr>
          <w:p>
            <w:r>
              <w:rPr>
                <w:sz w:val="17"/>
              </w:rPr>
              <w:t xml:space="preserve">Коэффициент рабочего регулирования тепловой мощности</w:t>
            </w:r>
          </w:p>
        </w:tc>
      </w:tr>
      <w:tr>
        <w:trPr>
          <w:cantSplit/>
        </w:trPr>
        <w:tc>
          <w:tcPr>
            <w:tcW w:w="2700" w:type="dxa"/>
          </w:tcPr>
          <w:p>
            <w:r>
              <w:rPr>
                <w:sz w:val="17"/>
              </w:rPr>
              <w:t xml:space="preserve">Программируемые логические контроллеры и система диспетчерского управления</w:t>
            </w:r>
          </w:p>
        </w:tc>
        <w:tc>
          <w:tcPr>
            <w:tcW w:w="6654" w:type="dxa"/>
          </w:tcPr>
          <w:p>
            <w:r>
              <w:rPr>
                <w:sz w:val="17"/>
              </w:rPr>
              <w:t xml:space="preserve">Соответствие утверждённому перечню Приложения №5 к Техническому заданию; для значимых объектов критической информационной инфраструктуры — наличие записи в реестре Министерства промышленности и торговли на дату экспертизы.</w:t>
            </w:r>
          </w:p>
        </w:tc>
      </w:tr>
      <w:tr>
        <w:trPr>
          <w:cantSplit/>
        </w:trPr>
        <w:tc>
          <w:tcPr>
            <w:tcW w:w="2700" w:type="dxa"/>
          </w:tcPr>
          <w:p>
            <w:r>
              <w:rPr>
                <w:sz w:val="17"/>
              </w:rPr>
              <w:t xml:space="preserve">Приборы контроля: давление, расход, уровень, температура, плотность, газовый состав</w:t>
            </w:r>
          </w:p>
        </w:tc>
        <w:tc>
          <w:tcPr>
            <w:tcW w:w="6654" w:type="dxa"/>
          </w:tcPr>
          <w:p>
            <w:r>
              <w:rPr>
                <w:sz w:val="17"/>
              </w:rPr>
              <w:t xml:space="preserve">Перечни по видам измерений — по Приложению №5 к Техническому заданию; средства измерений из Государственного реестра, поставка с первичной поверкой.</w:t>
            </w:r>
          </w:p>
        </w:tc>
      </w:tr>
    </w:tbl>
    <w:p>
      <w:pPr>
        <w:pStyle w:val="Heading2"/>
      </w:pPr>
      <w:r>
        <w:rPr>
          <w:b/>
          <w:sz w:val="24"/>
        </w:rPr>
        <w:t xml:space="preserve">3.5 Кандидаты-изготовители</w:t>
      </w:r>
    </w:p>
    <w:p>
      <w:r>
        <w:rPr>
          <w:sz w:val="20"/>
        </w:rPr>
        <w:t xml:space="preserve">Перечень кандидатов сформирован по справочнику изготовителей проекта и служит основой перечня адресатов запросов. Перечень открыт: он дополняется по предложению Заказчика и по результатам целевого поиска по позициям классов B и C. Окончательный состав адресатов согласовывается с Заказчиком до рассылки.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2300"/>
        <w:gridCol w:w="1150"/>
        <w:gridCol w:w="5904"/>
      </w:tblGrid>
      <w:tr>
        <w:trPr>
          <w:tblHeader/>
          <w:cantSplit/>
        </w:trPr>
        <w:tc>
          <w:tcPr>
            <w:tcW w:w="2300" w:type="dxa"/>
            <w:shd w:val="clear" w:fill="EFEFEF"/>
          </w:tcPr>
          <w:p>
            <w:r>
              <w:rPr>
                <w:b/>
                <w:sz w:val="15"/>
              </w:rPr>
              <w:t xml:space="preserve">Закупочная позиция</w:t>
            </w:r>
          </w:p>
        </w:tc>
        <w:tc>
          <w:tcPr>
            <w:tcW w:w="1150" w:type="dxa"/>
            <w:shd w:val="clear" w:fill="EFEFEF"/>
          </w:tcPr>
          <w:p>
            <w:r>
              <w:rPr>
                <w:b/>
                <w:sz w:val="15"/>
              </w:rPr>
              <w:t xml:space="preserve">Страна</w:t>
            </w:r>
          </w:p>
        </w:tc>
        <w:tc>
          <w:tcPr>
            <w:tcW w:w="5904" w:type="dxa"/>
            <w:shd w:val="clear" w:fill="EFEFEF"/>
          </w:tcPr>
          <w:p>
            <w:r>
              <w:rPr>
                <w:b/>
                <w:sz w:val="15"/>
              </w:rPr>
              <w:t xml:space="preserve">Кандидаты-изготовители</w:t>
            </w:r>
          </w:p>
        </w:tc>
      </w:tr>
      <w:tr>
        <w:trPr>
          <w:cantSplit/>
        </w:trPr>
        <w:tc>
          <w:tcPr>
            <w:tcW w:w="2300" w:type="dxa"/>
          </w:tcPr>
          <w:p>
            <w:r>
              <w:rPr>
                <w:sz w:val="15"/>
              </w:rPr>
              <w:t xml:space="preserve">Печь кипящего слоя 10–16 т/ч, кислородное дутьё</w:t>
            </w:r>
          </w:p>
        </w:tc>
        <w:tc>
          <w:tcPr>
            <w:tcW w:w="1150" w:type="dxa"/>
          </w:tcPr>
          <w:p>
            <w:r>
              <w:rPr>
                <w:sz w:val="15"/>
              </w:rPr>
              <w:t xml:space="preserve">КНР</w:t>
            </w:r>
          </w:p>
        </w:tc>
        <w:tc>
          <w:tcPr>
            <w:tcW w:w="5904" w:type="dxa"/>
          </w:tcPr>
          <w:p>
            <w:r>
              <w:rPr>
                <w:sz w:val="15"/>
              </w:rPr>
              <w:t xml:space="preserve">China Nerin Engineering Co., Ltd.; China ENFI Engineering Corp.; NFC (China Nonferrous Metal Industry's Foreign Engineering and Construction); Kunming Engineering &amp; Research Institute of Nonferrous Metallurgy (KMY); BGRIMM Technology Group; CINF Engineering (Changsha Nonferrous Metallurgy Design &amp; Research Institute)</w:t>
            </w:r>
          </w:p>
        </w:tc>
      </w:tr>
      <w:tr>
        <w:trPr>
          <w:cantSplit/>
        </w:trPr>
        <w:tc>
          <w:tcPr>
            <w:tcW w:w="2300" w:type="dxa"/>
          </w:tcPr>
          <w:p>
            <w:r>
              <w:rPr>
                <w:sz w:val="15"/>
              </w:rPr>
              <w:t xml:space="preserve">Котёл-утилизатор до 30 000 нм³/ч, пар 1,9 МПа / 375 °С</w:t>
            </w:r>
          </w:p>
        </w:tc>
        <w:tc>
          <w:tcPr>
            <w:tcW w:w="1150" w:type="dxa"/>
          </w:tcPr>
          <w:p>
            <w:r>
              <w:rPr>
                <w:sz w:val="15"/>
              </w:rPr>
              <w:t xml:space="preserve">КНР</w:t>
            </w:r>
          </w:p>
        </w:tc>
        <w:tc>
          <w:tcPr>
            <w:tcW w:w="5904" w:type="dxa"/>
          </w:tcPr>
          <w:p>
            <w:r>
              <w:rPr>
                <w:sz w:val="15"/>
              </w:rPr>
              <w:t xml:space="preserve">Hangzhou Boiler Group (с 2022 — Xizi Clean Energy); Suzhou Hailu Heavy Industry Co., Ltd.; Wuxi Huaguang Environment &amp; Energy Group</w:t>
            </w:r>
          </w:p>
        </w:tc>
      </w:tr>
      <w:tr>
        <w:trPr>
          <w:cantSplit/>
        </w:trPr>
        <w:tc>
          <w:tcPr>
            <w:tcW w:w="2300" w:type="dxa"/>
          </w:tcPr>
          <w:p>
            <w:r>
              <w:rPr>
                <w:sz w:val="15"/>
              </w:rPr>
              <w:t xml:space="preserve"/>
            </w:r>
          </w:p>
        </w:tc>
        <w:tc>
          <w:tcPr>
            <w:tcW w:w="1150" w:type="dxa"/>
          </w:tcPr>
          <w:p>
            <w:r>
              <w:rPr>
                <w:sz w:val="15"/>
              </w:rPr>
              <w:t xml:space="preserve">Индия</w:t>
            </w:r>
          </w:p>
        </w:tc>
        <w:tc>
          <w:tcPr>
            <w:tcW w:w="5904" w:type="dxa"/>
          </w:tcPr>
          <w:p>
            <w:r>
              <w:rPr>
                <w:sz w:val="15"/>
              </w:rPr>
              <w:t xml:space="preserve">Thermax Limited; Isgec Heavy Engineering Ltd.</w:t>
            </w:r>
          </w:p>
        </w:tc>
      </w:tr>
      <w:tr>
        <w:trPr>
          <w:cantSplit/>
        </w:trPr>
        <w:tc>
          <w:tcPr>
            <w:tcW w:w="2300" w:type="dxa"/>
          </w:tcPr>
          <w:p>
            <w:r>
              <w:rPr>
                <w:sz w:val="15"/>
              </w:rPr>
              <w:t xml:space="preserve">Сухой электрофильтр до 57 600 м³/ч, 2 шт.</w:t>
            </w:r>
          </w:p>
        </w:tc>
        <w:tc>
          <w:tcPr>
            <w:tcW w:w="1150" w:type="dxa"/>
          </w:tcPr>
          <w:p>
            <w:r>
              <w:rPr>
                <w:sz w:val="15"/>
              </w:rPr>
              <w:t xml:space="preserve">КНР</w:t>
            </w:r>
          </w:p>
        </w:tc>
        <w:tc>
          <w:tcPr>
            <w:tcW w:w="5904" w:type="dxa"/>
          </w:tcPr>
          <w:p>
            <w:r>
              <w:rPr>
                <w:sz w:val="15"/>
              </w:rPr>
              <w:t xml:space="preserve">Fujian Longking Co., Ltd.; Zhejiang Feida Environmental Science &amp; Technology; Tengy Environmental Technology (Zhejiang Tianjie)</w:t>
            </w:r>
          </w:p>
        </w:tc>
      </w:tr>
      <w:tr>
        <w:trPr>
          <w:cantSplit/>
        </w:trPr>
        <w:tc>
          <w:tcPr>
            <w:tcW w:w="2300" w:type="dxa"/>
          </w:tcPr>
          <w:p>
            <w:r>
              <w:rPr>
                <w:sz w:val="15"/>
              </w:rPr>
              <w:t xml:space="preserve"/>
            </w:r>
          </w:p>
        </w:tc>
        <w:tc>
          <w:tcPr>
            <w:tcW w:w="1150" w:type="dxa"/>
          </w:tcPr>
          <w:p>
            <w:r>
              <w:rPr>
                <w:sz w:val="15"/>
              </w:rPr>
              <w:t xml:space="preserve">Индия</w:t>
            </w:r>
          </w:p>
        </w:tc>
        <w:tc>
          <w:tcPr>
            <w:tcW w:w="5904" w:type="dxa"/>
          </w:tcPr>
          <w:p>
            <w:r>
              <w:rPr>
                <w:sz w:val="15"/>
              </w:rPr>
              <w:t xml:space="preserve">Thermax; Enviropol Engineers Pvt. Ltd.; Isgec Heavy Engineering Ltd.; Bharat Heavy Electricals Limited (BHEL)</w:t>
            </w:r>
          </w:p>
        </w:tc>
      </w:tr>
      <w:tr>
        <w:trPr>
          <w:cantSplit/>
        </w:trPr>
        <w:tc>
          <w:tcPr>
            <w:tcW w:w="2300" w:type="dxa"/>
          </w:tcPr>
          <w:p>
            <w:r>
              <w:rPr>
                <w:sz w:val="15"/>
              </w:rPr>
              <w:t xml:space="preserve">Одиночный циклон до 32 000 м³/ч</w:t>
            </w:r>
          </w:p>
        </w:tc>
        <w:tc>
          <w:tcPr>
            <w:tcW w:w="1150" w:type="dxa"/>
          </w:tcPr>
          <w:p>
            <w:r>
              <w:rPr>
                <w:sz w:val="15"/>
              </w:rPr>
              <w:t xml:space="preserve">КНР</w:t>
            </w:r>
          </w:p>
        </w:tc>
        <w:tc>
          <w:tcPr>
            <w:tcW w:w="5904" w:type="dxa"/>
          </w:tcPr>
          <w:p>
            <w:r>
              <w:rPr>
                <w:sz w:val="15"/>
              </w:rPr>
              <w:t xml:space="preserve">Fujian Longking Co., Ltd.; Sinosteel Tiancheng Environmental Protection Science &amp; Technology Co., Ltd.</w:t>
            </w:r>
          </w:p>
        </w:tc>
      </w:tr>
      <w:tr>
        <w:trPr>
          <w:cantSplit/>
        </w:trPr>
        <w:tc>
          <w:tcPr>
            <w:tcW w:w="2300" w:type="dxa"/>
          </w:tcPr>
          <w:p>
            <w:r>
              <w:rPr>
                <w:sz w:val="15"/>
              </w:rPr>
              <w:t xml:space="preserve"/>
            </w:r>
          </w:p>
        </w:tc>
        <w:tc>
          <w:tcPr>
            <w:tcW w:w="1150" w:type="dxa"/>
          </w:tcPr>
          <w:p>
            <w:r>
              <w:rPr>
                <w:sz w:val="15"/>
              </w:rPr>
              <w:t xml:space="preserve">Индия</w:t>
            </w:r>
          </w:p>
        </w:tc>
        <w:tc>
          <w:tcPr>
            <w:tcW w:w="5904" w:type="dxa"/>
          </w:tcPr>
          <w:p>
            <w:r>
              <w:rPr>
                <w:sz w:val="15"/>
              </w:rPr>
              <w:t xml:space="preserve">Rieco Industries Ltd.; Techflow Enterprises Pvt. Ltd.</w:t>
            </w:r>
          </w:p>
        </w:tc>
      </w:tr>
      <w:tr>
        <w:trPr>
          <w:cantSplit/>
        </w:trPr>
        <w:tc>
          <w:tcPr>
            <w:tcW w:w="2300" w:type="dxa"/>
          </w:tcPr>
          <w:p>
            <w:r>
              <w:rPr>
                <w:sz w:val="15"/>
              </w:rPr>
              <w:t xml:space="preserve">Дымососы до 78 000 м³/ч, 400 кВт / 6 кВ, 2 шт.</w:t>
            </w:r>
          </w:p>
        </w:tc>
        <w:tc>
          <w:tcPr>
            <w:tcW w:w="1150" w:type="dxa"/>
          </w:tcPr>
          <w:p>
            <w:r>
              <w:rPr>
                <w:sz w:val="15"/>
              </w:rPr>
              <w:t xml:space="preserve">КНР</w:t>
            </w:r>
          </w:p>
        </w:tc>
        <w:tc>
          <w:tcPr>
            <w:tcW w:w="5904" w:type="dxa"/>
          </w:tcPr>
          <w:p>
            <w:r>
              <w:rPr>
                <w:sz w:val="15"/>
              </w:rPr>
              <w:t xml:space="preserve">Chongqing General Industry (Group) Co., Ltd.; Shenyang Blower Works Group / SBW (Shengu Group); Xinxiang SIMO Blower Co., Ltd.; Xi'an Shaangu Power Co., Ltd.; Zhejiang Shangfeng Special Blower Industrial Co., Ltd.; Zibo Hongcheng Fan Co., Ltd.</w:t>
            </w:r>
          </w:p>
        </w:tc>
      </w:tr>
      <w:tr>
        <w:trPr>
          <w:cantSplit/>
        </w:trPr>
        <w:tc>
          <w:tcPr>
            <w:tcW w:w="2300" w:type="dxa"/>
          </w:tcPr>
          <w:p>
            <w:r>
              <w:rPr>
                <w:sz w:val="15"/>
              </w:rPr>
              <w:t xml:space="preserve">Рукавные фильтры аспирации с дымососами на свечу</w:t>
            </w:r>
          </w:p>
        </w:tc>
        <w:tc>
          <w:tcPr>
            <w:tcW w:w="1150" w:type="dxa"/>
          </w:tcPr>
          <w:p>
            <w:r>
              <w:rPr>
                <w:sz w:val="15"/>
              </w:rPr>
              <w:t xml:space="preserve">КНР</w:t>
            </w:r>
          </w:p>
        </w:tc>
        <w:tc>
          <w:tcPr>
            <w:tcW w:w="5904" w:type="dxa"/>
          </w:tcPr>
          <w:p>
            <w:r>
              <w:rPr>
                <w:sz w:val="15"/>
              </w:rPr>
              <w:t xml:space="preserve">Fujian Longking Co., Ltd.; Zhejiang Feida Environmental Science &amp; Technology; Tengy Environmental Technology (Zhejiang Tianjie)</w:t>
            </w:r>
          </w:p>
        </w:tc>
      </w:tr>
      <w:tr>
        <w:trPr>
          <w:cantSplit/>
        </w:trPr>
        <w:tc>
          <w:tcPr>
            <w:tcW w:w="2300" w:type="dxa"/>
          </w:tcPr>
          <w:p>
            <w:r>
              <w:rPr>
                <w:sz w:val="15"/>
              </w:rPr>
              <w:t xml:space="preserve"/>
            </w:r>
          </w:p>
        </w:tc>
        <w:tc>
          <w:tcPr>
            <w:tcW w:w="1150" w:type="dxa"/>
          </w:tcPr>
          <w:p>
            <w:r>
              <w:rPr>
                <w:sz w:val="15"/>
              </w:rPr>
              <w:t xml:space="preserve">Индия</w:t>
            </w:r>
          </w:p>
        </w:tc>
        <w:tc>
          <w:tcPr>
            <w:tcW w:w="5904" w:type="dxa"/>
          </w:tcPr>
          <w:p>
            <w:r>
              <w:rPr>
                <w:sz w:val="15"/>
              </w:rPr>
              <w:t xml:space="preserve">Rieco Industries Ltd.; Techflow Enterprises Pvt. Ltd.; Enviropol Engineers Pvt. Ltd.</w:t>
            </w:r>
          </w:p>
        </w:tc>
      </w:tr>
      <w:tr>
        <w:trPr>
          <w:cantSplit/>
        </w:trPr>
        <w:tc>
          <w:tcPr>
            <w:tcW w:w="2300" w:type="dxa"/>
          </w:tcPr>
          <w:p>
            <w:r>
              <w:rPr>
                <w:sz w:val="15"/>
              </w:rPr>
              <w:t xml:space="preserve">Барабанные вакуум-фильтры пульпы медного концентрата</w:t>
            </w:r>
          </w:p>
        </w:tc>
        <w:tc>
          <w:tcPr>
            <w:tcW w:w="1150" w:type="dxa"/>
          </w:tcPr>
          <w:p>
            <w:r>
              <w:rPr>
                <w:sz w:val="15"/>
              </w:rPr>
              <w:t xml:space="preserve">КНР</w:t>
            </w:r>
          </w:p>
        </w:tc>
        <w:tc>
          <w:tcPr>
            <w:tcW w:w="5904" w:type="dxa"/>
          </w:tcPr>
          <w:p>
            <w:r>
              <w:rPr>
                <w:sz w:val="15"/>
              </w:rPr>
              <w:t xml:space="preserve">Yantai Jinpeng Mining Machinery Co., Ltd.; Nuclear Industry Yantai Toncin Group Co., Ltd.; Xinxiang Yinuo Machineries Co., Ltd.; Yantai Hexin Environmental Protection Equipment Co., Ltd.; Jiangxi Shicheng Mine Machinery Factory (JXSC); Shandong Xinhai Mining Technology &amp; Equipment Inc.</w:t>
            </w:r>
          </w:p>
        </w:tc>
      </w:tr>
      <w:tr>
        <w:trPr>
          <w:cantSplit/>
        </w:trPr>
        <w:tc>
          <w:tcPr>
            <w:tcW w:w="2300" w:type="dxa"/>
          </w:tcPr>
          <w:p>
            <w:r>
              <w:rPr>
                <w:sz w:val="15"/>
              </w:rPr>
              <w:t xml:space="preserve">Оборудование шихтоподготовки: питатели, весовые дозаторы, смеситель, ленточные конвейеры</w:t>
            </w:r>
          </w:p>
        </w:tc>
        <w:tc>
          <w:tcPr>
            <w:tcW w:w="1150" w:type="dxa"/>
          </w:tcPr>
          <w:p>
            <w:r>
              <w:rPr>
                <w:sz w:val="15"/>
              </w:rPr>
              <w:t xml:space="preserve">КНР</w:t>
            </w:r>
          </w:p>
        </w:tc>
        <w:tc>
          <w:tcPr>
            <w:tcW w:w="5904" w:type="dxa"/>
          </w:tcPr>
          <w:p>
            <w:r>
              <w:rPr>
                <w:sz w:val="15"/>
              </w:rPr>
              <w:t xml:space="preserve">Henan Pingyuan Mining Machinery (PK Machinery); Henan Zhengzhou Mining Machinery (ZK Corp); Shanghai Ku Qiao Equipment Co., Ltd. (SKE); Henan Excellent Machinery Co., Ltd. (EXCT); Northern Heavy Industries Group Co., Ltd. (NHI)</w:t>
            </w:r>
          </w:p>
        </w:tc>
      </w:tr>
      <w:tr>
        <w:trPr>
          <w:cantSplit/>
        </w:trPr>
        <w:tc>
          <w:tcPr>
            <w:tcW w:w="2300" w:type="dxa"/>
          </w:tcPr>
          <w:p>
            <w:r>
              <w:rPr>
                <w:sz w:val="15"/>
              </w:rPr>
              <w:t xml:space="preserve">Мазутные горелки ГМ-4,5 и МГМГ-10</w:t>
            </w:r>
          </w:p>
        </w:tc>
        <w:tc>
          <w:tcPr>
            <w:tcW w:w="1150" w:type="dxa"/>
          </w:tcPr>
          <w:p>
            <w:r>
              <w:rPr>
                <w:sz w:val="15"/>
              </w:rPr>
              <w:t xml:space="preserve">КНР</w:t>
            </w:r>
          </w:p>
        </w:tc>
        <w:tc>
          <w:tcPr>
            <w:tcW w:w="5904" w:type="dxa"/>
          </w:tcPr>
          <w:p>
            <w:r>
              <w:rPr>
                <w:sz w:val="15"/>
              </w:rPr>
              <w:t xml:space="preserve">Zhengzhou Bona Thermal Energy Equipment Co., Ltd. (BNTET); EBICO (China) Environment Co., Ltd.</w:t>
            </w:r>
          </w:p>
        </w:tc>
      </w:tr>
      <w:tr>
        <w:trPr>
          <w:cantSplit/>
        </w:trPr>
        <w:tc>
          <w:tcPr>
            <w:tcW w:w="2300" w:type="dxa"/>
          </w:tcPr>
          <w:p>
            <w:r>
              <w:rPr>
                <w:sz w:val="15"/>
              </w:rPr>
              <w:t xml:space="preserve"/>
            </w:r>
          </w:p>
        </w:tc>
        <w:tc>
          <w:tcPr>
            <w:tcW w:w="1150" w:type="dxa"/>
          </w:tcPr>
          <w:p>
            <w:r>
              <w:rPr>
                <w:sz w:val="15"/>
              </w:rPr>
              <w:t xml:space="preserve">Россия</w:t>
            </w:r>
          </w:p>
        </w:tc>
        <w:tc>
          <w:tcPr>
            <w:tcW w:w="5904" w:type="dxa"/>
          </w:tcPr>
          <w:p>
            <w:r>
              <w:rPr>
                <w:sz w:val="15"/>
              </w:rPr>
              <w:t xml:space="preserve">Бийский котельный завод (БиКЗ); Бийский Котельный Завод «Генерация»</w:t>
            </w:r>
          </w:p>
        </w:tc>
      </w:tr>
      <w:tr>
        <w:trPr>
          <w:cantSplit/>
        </w:trPr>
        <w:tc>
          <w:tcPr>
            <w:tcW w:w="2300" w:type="dxa"/>
          </w:tcPr>
          <w:p>
            <w:r>
              <w:rPr>
                <w:sz w:val="15"/>
              </w:rPr>
              <w:t xml:space="preserve"/>
            </w:r>
          </w:p>
        </w:tc>
        <w:tc>
          <w:tcPr>
            <w:tcW w:w="1150" w:type="dxa"/>
          </w:tcPr>
          <w:p>
            <w:r>
              <w:rPr>
                <w:sz w:val="15"/>
              </w:rPr>
              <w:t xml:space="preserve">Индия</w:t>
            </w:r>
          </w:p>
        </w:tc>
        <w:tc>
          <w:tcPr>
            <w:tcW w:w="5904" w:type="dxa"/>
          </w:tcPr>
          <w:p>
            <w:r>
              <w:rPr>
                <w:sz w:val="15"/>
              </w:rPr>
              <w:t xml:space="preserve">The Wesman Engineering Co. Pvt. Ltd.</w:t>
            </w:r>
          </w:p>
        </w:tc>
      </w:tr>
      <w:tr>
        <w:trPr>
          <w:cantSplit/>
        </w:trPr>
        <w:tc>
          <w:tcPr>
            <w:tcW w:w="2300" w:type="dxa"/>
          </w:tcPr>
          <w:p>
            <w:r>
              <w:rPr>
                <w:sz w:val="15"/>
              </w:rPr>
              <w:t xml:space="preserve"/>
            </w:r>
          </w:p>
        </w:tc>
        <w:tc>
          <w:tcPr>
            <w:tcW w:w="1150" w:type="dxa"/>
          </w:tcPr>
          <w:p>
            <w:r>
              <w:rPr>
                <w:sz w:val="15"/>
              </w:rPr>
              <w:t xml:space="preserve">Турция</w:t>
            </w:r>
          </w:p>
        </w:tc>
        <w:tc>
          <w:tcPr>
            <w:tcW w:w="5904" w:type="dxa"/>
          </w:tcPr>
          <w:p>
            <w:r>
              <w:rPr>
                <w:sz w:val="15"/>
              </w:rPr>
              <w:t xml:space="preserve">Termo Isı Sistemleri A.Ş. (Ecostar)</w:t>
            </w:r>
          </w:p>
        </w:tc>
      </w:tr>
      <w:tr>
        <w:trPr>
          <w:cantSplit/>
        </w:trPr>
        <w:tc>
          <w:tcPr>
            <w:tcW w:w="2300" w:type="dxa"/>
          </w:tcPr>
          <w:p>
            <w:r>
              <w:rPr>
                <w:sz w:val="15"/>
              </w:rPr>
              <w:t xml:space="preserve">Программируемые логические контроллеры и система диспетчерского управления</w:t>
            </w:r>
          </w:p>
        </w:tc>
        <w:tc>
          <w:tcPr>
            <w:tcW w:w="1150" w:type="dxa"/>
          </w:tcPr>
          <w:p>
            <w:r>
              <w:rPr>
                <w:sz w:val="15"/>
              </w:rPr>
              <w:t xml:space="preserve">Россия</w:t>
            </w:r>
          </w:p>
        </w:tc>
        <w:tc>
          <w:tcPr>
            <w:tcW w:w="5904" w:type="dxa"/>
          </w:tcPr>
          <w:p>
            <w:r>
              <w:rPr>
                <w:sz w:val="15"/>
              </w:rPr>
              <w:t xml:space="preserve">ООО «Прософт-Системы» (ARIS); АО НИЦ «Инкомсистем» (АБАК К2/К3); АО «Атомик Софт» (Alpha.Platform); АО «ЭлеСи» (Integrity SCADA); ООО НПП «ЭКРА» (EKRA A01/A02)</w:t>
            </w:r>
          </w:p>
        </w:tc>
      </w:tr>
      <w:tr>
        <w:trPr>
          <w:cantSplit/>
        </w:trPr>
        <w:tc>
          <w:tcPr>
            <w:tcW w:w="2300" w:type="dxa"/>
          </w:tcPr>
          <w:p>
            <w:r>
              <w:rPr>
                <w:sz w:val="15"/>
              </w:rPr>
              <w:t xml:space="preserve">Приборы контроля: давление, расход, уровень, температура, плотность, газовый состав</w:t>
            </w:r>
          </w:p>
        </w:tc>
        <w:tc>
          <w:tcPr>
            <w:tcW w:w="1150" w:type="dxa"/>
          </w:tcPr>
          <w:p>
            <w:r>
              <w:rPr>
                <w:sz w:val="15"/>
              </w:rPr>
              <w:t xml:space="preserve">Россия</w:t>
            </w:r>
          </w:p>
        </w:tc>
        <w:tc>
          <w:tcPr>
            <w:tcW w:w="5904" w:type="dxa"/>
          </w:tcPr>
          <w:p>
            <w:r>
              <w:rPr>
                <w:sz w:val="15"/>
              </w:rPr>
              <w:t xml:space="preserve">ЗАО «ЭМИС»; ООО НПП «ЭЛЕМЕР»; АО «Промышленная группа «Метран»; ООО «ЭлМетро-Инжиниринг»; ГК «Взлёт»; ООО «НПО РИЗУР»; ООО «НПК ВИП»; ОАО «Манотомь»; ЗАО «Росма»; ООО «УЛЬТРАМАШ»; ООО «НПП КуйбышевТелеком-Метрология»; ООО «КОНВЕЛС Автоматизация»</w:t>
            </w:r>
          </w:p>
        </w:tc>
      </w:tr>
    </w:tbl>
    <w:p>
      <w:r>
        <w:rPr>
          <w:color w:val="555555"/>
          <w:sz w:val="18"/>
        </w:rPr>
        <w:t xml:space="preserve">Справочник кандидатов ограничен изготовителями со штаб-квартирами в государствах, не вводивших ограничительные меры в отношении Российской Федерации, и российскими изготовителями. По каждой позиции перечень адресатов формируется так, чтобы в него входил не менее чем один российский и не менее чем один зарубежный изготовитель.</w:t>
      </w:r>
    </w:p>
    <w:p>
      <w:pPr>
        <w:pStyle w:val="Heading2"/>
      </w:pPr>
      <w:r>
        <w:rPr>
          <w:b/>
          <w:sz w:val="24"/>
        </w:rPr>
        <w:t xml:space="preserve">3.6 Позиции, оцениваемые по укрупнённым показателям</w:t>
      </w:r>
    </w:p>
    <w:p>
      <w:r>
        <w:rPr>
          <w:sz w:val="20"/>
        </w:rPr>
        <w:t xml:space="preserve">Перечисленные позиции на запрос предложений не выносятся: их стоимость определяется по укрупнённым показателям и ценовой базе аналогичных поставок с приведением к дате уровня цен. Объёмы по этим позициям уточняются по мере выпуска компоновочных решений, перечня трубопроводов и арматуры и решений по электрической части.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2700"/>
        <w:gridCol w:w="6654"/>
      </w:tblGrid>
      <w:tr>
        <w:trPr>
          <w:tblHeader/>
          <w:cantSplit/>
        </w:trPr>
        <w:tc>
          <w:tcPr>
            <w:tcW w:w="2700" w:type="dxa"/>
            <w:shd w:val="clear" w:fill="EFEFEF"/>
          </w:tcPr>
          <w:p>
            <w:r>
              <w:rPr>
                <w:b/>
                <w:sz w:val="15"/>
              </w:rPr>
              <w:t xml:space="preserve">Группа позиций</w:t>
            </w:r>
          </w:p>
        </w:tc>
        <w:tc>
          <w:tcPr>
            <w:tcW w:w="6654" w:type="dxa"/>
            <w:shd w:val="clear" w:fill="EFEFEF"/>
          </w:tcPr>
          <w:p>
            <w:r>
              <w:rPr>
                <w:b/>
                <w:sz w:val="15"/>
              </w:rPr>
              <w:t xml:space="preserve">Состав</w:t>
            </w:r>
          </w:p>
        </w:tc>
      </w:tr>
      <w:tr>
        <w:trPr>
          <w:cantSplit/>
        </w:trPr>
        <w:tc>
          <w:tcPr>
            <w:tcW w:w="2700" w:type="dxa"/>
          </w:tcPr>
          <w:p>
            <w:r>
              <w:rPr>
                <w:sz w:val="17"/>
              </w:rPr>
              <w:t xml:space="preserve">Трубопроводы и газоходы</w:t>
            </w:r>
          </w:p>
        </w:tc>
        <w:tc>
          <w:tcPr>
            <w:tcW w:w="6654" w:type="dxa"/>
          </w:tcPr>
          <w:p>
            <w:r>
              <w:rPr>
                <w:sz w:val="17"/>
              </w:rPr>
              <w:t xml:space="preserve">Газоходы тракта с футеровкой и тепловой изоляцией, технологические трубопроводы в границах лота, арматура</w:t>
            </w:r>
          </w:p>
        </w:tc>
      </w:tr>
      <w:tr>
        <w:trPr>
          <w:cantSplit/>
        </w:trPr>
        <w:tc>
          <w:tcPr>
            <w:tcW w:w="2700" w:type="dxa"/>
          </w:tcPr>
          <w:p>
            <w:r>
              <w:rPr>
                <w:sz w:val="17"/>
              </w:rPr>
              <w:t xml:space="preserve">Металлоконструкции</w:t>
            </w:r>
          </w:p>
        </w:tc>
        <w:tc>
          <w:tcPr>
            <w:tcW w:w="6654" w:type="dxa"/>
          </w:tcPr>
          <w:p>
            <w:r>
              <w:rPr>
                <w:sz w:val="17"/>
              </w:rPr>
              <w:t xml:space="preserve">Бункерная этажерка, площадки обслуживания, опорные конструкции газоходов и оборудования</w:t>
            </w:r>
          </w:p>
        </w:tc>
      </w:tr>
      <w:tr>
        <w:trPr>
          <w:cantSplit/>
        </w:trPr>
        <w:tc>
          <w:tcPr>
            <w:tcW w:w="2700" w:type="dxa"/>
          </w:tcPr>
          <w:p>
            <w:r>
              <w:rPr>
                <w:sz w:val="17"/>
              </w:rPr>
              <w:t xml:space="preserve">Футеровка и тепловая изоляция</w:t>
            </w:r>
          </w:p>
        </w:tc>
        <w:tc>
          <w:tcPr>
            <w:tcW w:w="6654" w:type="dxa"/>
          </w:tcPr>
          <w:p>
            <w:r>
              <w:rPr>
                <w:sz w:val="17"/>
              </w:rPr>
              <w:t xml:space="preserve">Огнеупорная футеровка печи и газоходов, тепловая изоляция горячих поверхностей и паропроводов</w:t>
            </w:r>
          </w:p>
        </w:tc>
      </w:tr>
      <w:tr>
        <w:trPr>
          <w:cantSplit/>
        </w:trPr>
        <w:tc>
          <w:tcPr>
            <w:tcW w:w="2700" w:type="dxa"/>
          </w:tcPr>
          <w:p>
            <w:r>
              <w:rPr>
                <w:sz w:val="17"/>
              </w:rPr>
              <w:t xml:space="preserve">Полевые приборы и арматура</w:t>
            </w:r>
          </w:p>
        </w:tc>
        <w:tc>
          <w:tcPr>
            <w:tcW w:w="6654" w:type="dxa"/>
          </w:tcPr>
          <w:p>
            <w:r>
              <w:rPr>
                <w:sz w:val="17"/>
              </w:rPr>
              <w:t xml:space="preserve">Приборы контроля вне комплектных поставок, регулирующая и запорная арматура</w:t>
            </w:r>
          </w:p>
        </w:tc>
      </w:tr>
      <w:tr>
        <w:trPr>
          <w:cantSplit/>
        </w:trPr>
        <w:tc>
          <w:tcPr>
            <w:tcW w:w="2700" w:type="dxa"/>
          </w:tcPr>
          <w:p>
            <w:r>
              <w:rPr>
                <w:sz w:val="17"/>
              </w:rPr>
              <w:t xml:space="preserve">Электрооборудование в границах поставки</w:t>
            </w:r>
          </w:p>
        </w:tc>
        <w:tc>
          <w:tcPr>
            <w:tcW w:w="6654" w:type="dxa"/>
          </w:tcPr>
          <w:p>
            <w:r>
              <w:rPr>
                <w:sz w:val="17"/>
              </w:rPr>
              <w:t xml:space="preserve">Кабельная продукция, шкафы и щиты в согласованных границах</w:t>
            </w:r>
          </w:p>
        </w:tc>
      </w:tr>
    </w:tbl>
    <w:p>
      <w:pPr>
        <w:pStyle w:val="Heading1"/>
      </w:pPr>
      <w:r>
        <w:rPr>
          <w:b/>
          <w:sz w:val="28"/>
        </w:rPr>
        <w:t xml:space="preserve">4. Запрос предложений: состав и требования</w:t>
      </w:r>
    </w:p>
    <w:p>
      <w:pPr>
        <w:pStyle w:val="Heading2"/>
      </w:pPr>
      <w:r>
        <w:rPr>
          <w:b/>
          <w:sz w:val="24"/>
        </w:rPr>
        <w:t xml:space="preserve">4.1 Состав запроса</w:t>
      </w:r>
    </w:p>
    <w:p>
      <w:r>
        <w:rPr>
          <w:sz w:val="20"/>
        </w:rPr>
        <w:t xml:space="preserve">Запрос по каждой позиции представляет собой комплект из двух частей: письмо-запрос бюджетного технико-коммерческого предложения с изложением предмета, условий и срока ответа и приложение с техническими требованиями по позиции. Техническое приложение составлено по перечню оборудования лота и содержит назначение, основные параметры, количество, материальное исполнение, известные габариты и энергопотребление. Для зарубежных адресатов письмо дополнено переводом на английский язык.</w:t>
      </w:r>
    </w:p>
    <w:p>
      <w:r>
        <w:rPr>
          <w:sz w:val="20"/>
        </w:rPr>
        <w:t xml:space="preserve">Запрос имеет бюджетный характер и относится к стадии Базового инжиниринга: он не является офертой и не создаёт обязательств сторон. Уточнённые опросные листы направляются изготовителям на последующей стадии проекта. Материалы запроса предоставляются адресату как конфиденциальные и не подлежат раскрытию третьим лицам.</w:t>
      </w:r>
    </w:p>
    <w:p>
      <w:pPr>
        <w:pStyle w:val="Heading2"/>
      </w:pPr>
      <w:r>
        <w:rPr>
          <w:b/>
          <w:sz w:val="24"/>
        </w:rPr>
        <w:t xml:space="preserve">4.2 Пакетирование запросов и технологические гарантии</w:t>
      </w:r>
    </w:p>
    <w:p>
      <w:r>
        <w:rPr>
          <w:sz w:val="20"/>
        </w:rPr>
        <w:t xml:space="preserve">Кандидаты по позиции печи кипящего слоя — проектно-инжиниринговые организации цветной металлургии, поставляющие печной комплекс комплектно. Запрос по этой позиции формируется как запрос на комплектную поставку печного острова (печь с подиной, порогами выгрузки и забрасывателем, воздуходувка дутья, топка-смеситель) с гарантиями по производительности и режиму кислородного дутья. Позиции газоочистки запрашиваются раздельно: рынок по ним широкий, раздельный запрос даёт сопоставимые предложения и сохраняет конкуренцию. Референсные изготовители, названные в исходных данных, включаются в перечень адресатов наряду с альтернативными российскими поставщиками по каждой группе.</w:t>
      </w:r>
    </w:p>
    <w:p>
      <w:r>
        <w:rPr>
          <w:sz w:val="20"/>
        </w:rPr>
        <w:t xml:space="preserve">В запрос и опросные листы включаются технологические гарантии, определяющие пригодность оборудования и сопоставимость предложений: производительность печи кипящего слоя 10–16 т/ч по шихте при кислородном дутье; паропроизводительность котла-утилизатора при расходе газов до 30 000 нм³/ч и параметрах пара 1,9 МПа и 375 °С; гарантируемая остаточная запылённость газов после электрофильтра; качественный состав и количество выбросов на свечу аспирации; влажность кека вакуум-фильтров 10 % при крупности концентрата 25,5 мкм. Предложение, не содержащее подтверждения этих показателей, к оценке не принимается.</w:t>
      </w:r>
    </w:p>
    <w:p>
      <w:pPr>
        <w:pStyle w:val="Heading2"/>
      </w:pPr>
      <w:r>
        <w:rPr>
          <w:b/>
          <w:sz w:val="24"/>
        </w:rPr>
        <w:t xml:space="preserve">4.3 Требования к содержанию предложения</w:t>
      </w:r>
    </w:p>
    <w:p>
      <w:r>
        <w:rPr>
          <w:sz w:val="20"/>
        </w:rPr>
        <w:t xml:space="preserve">В составе предложения запрашиваются:</w:t>
      </w:r>
    </w:p>
    <w:p>
      <w:r>
        <w:rPr>
          <w:sz w:val="20"/>
        </w:rPr>
        <w:t xml:space="preserve">1) бюджетная цена — раздельно на условиях EXW (склад изготовителя) и DDP Мончегорск (Инкотермс 2020), с указанием валюты и срока действия предложения;</w:t>
      </w:r>
    </w:p>
    <w:p>
      <w:r>
        <w:rPr>
          <w:sz w:val="20"/>
        </w:rPr>
        <w:t xml:space="preserve">2) срок изготовления и ориентировочный срок поставки в неделях от даты заказа или авансового платежа;</w:t>
      </w:r>
    </w:p>
    <w:p>
      <w:r>
        <w:rPr>
          <w:sz w:val="20"/>
        </w:rPr>
        <w:t xml:space="preserve">3) габариты и масса единицы оборудования и наибольших поставочных блоков — для проработки логистики и требований к монтажу;</w:t>
      </w:r>
    </w:p>
    <w:p>
      <w:r>
        <w:rPr>
          <w:sz w:val="20"/>
        </w:rPr>
        <w:t xml:space="preserve">4) перечень аналогичных поставок: продукт, рабочая среда и параметры, год поставки, страна;</w:t>
      </w:r>
    </w:p>
    <w:p>
      <w:r>
        <w:rPr>
          <w:sz w:val="20"/>
        </w:rPr>
        <w:t xml:space="preserve">5) материал частей, контактирующих с рабочей средой, и комплектность поставки — приборы контроля, запасные части, документация;</w:t>
      </w:r>
    </w:p>
    <w:p>
      <w:r>
        <w:rPr>
          <w:sz w:val="20"/>
        </w:rPr>
        <w:t xml:space="preserve">6) потребность в энергоресурсах и требования к монтажу.</w:t>
      </w:r>
    </w:p>
    <w:p>
      <w:r>
        <w:rPr>
          <w:sz w:val="20"/>
        </w:rPr>
        <w:t xml:space="preserve">Срок представления предложения — 3 недели с даты получения запроса. Получение запроса подтверждается адресатом; отсутствие ответа в установленный срок фиксируется в реестре запросов и учитывается при обосновании числа собранных предложений.</w:t>
      </w:r>
    </w:p>
    <w:p>
      <w:pPr>
        <w:pStyle w:val="Heading2"/>
      </w:pPr>
      <w:r>
        <w:rPr>
          <w:b/>
          <w:sz w:val="24"/>
        </w:rPr>
        <w:t xml:space="preserve">4.4 Правила приёма предложения к оценке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2400"/>
        <w:gridCol w:w="6954"/>
      </w:tblGrid>
      <w:tr>
        <w:trPr>
          <w:tblHeader/>
          <w:cantSplit/>
        </w:trPr>
        <w:tc>
          <w:tcPr>
            <w:tcW w:w="2400" w:type="dxa"/>
            <w:shd w:val="clear" w:fill="EFEFEF"/>
          </w:tcPr>
          <w:p>
            <w:r>
              <w:rPr>
                <w:b/>
                <w:sz w:val="15"/>
              </w:rPr>
              <w:t xml:space="preserve">Правило</w:t>
            </w:r>
          </w:p>
        </w:tc>
        <w:tc>
          <w:tcPr>
            <w:tcW w:w="6954" w:type="dxa"/>
            <w:shd w:val="clear" w:fill="EFEFEF"/>
          </w:tcPr>
          <w:p>
            <w:r>
              <w:rPr>
                <w:b/>
                <w:sz w:val="15"/>
              </w:rPr>
              <w:t xml:space="preserve">Содержание</w:t>
            </w:r>
          </w:p>
        </w:tc>
      </w:tr>
      <w:tr>
        <w:trPr>
          <w:cantSplit/>
        </w:trPr>
        <w:tc>
          <w:tcPr>
            <w:tcW w:w="2400" w:type="dxa"/>
          </w:tcPr>
          <w:p>
            <w:r>
              <w:rPr>
                <w:sz w:val="17"/>
              </w:rPr>
              <w:t xml:space="preserve">Полнота опросного листа</w:t>
            </w:r>
          </w:p>
        </w:tc>
        <w:tc>
          <w:tcPr>
            <w:tcW w:w="6954" w:type="dxa"/>
          </w:tcPr>
          <w:p>
            <w:r>
              <w:rPr>
                <w:sz w:val="17"/>
              </w:rPr>
              <w:t xml:space="preserve">Опросный лист заполняется по каждой позиции и содержит рабочую среду, температуру, давление, материал частей, контактирующих со средой, производительность, габариты, массу, энергопотребление, срок изготовления и условия поставки.</w:t>
            </w:r>
          </w:p>
        </w:tc>
      </w:tr>
      <w:tr>
        <w:trPr>
          <w:cantSplit/>
        </w:trPr>
        <w:tc>
          <w:tcPr>
            <w:tcW w:w="2400" w:type="dxa"/>
          </w:tcPr>
          <w:p>
            <w:r>
              <w:rPr>
                <w:sz w:val="17"/>
              </w:rPr>
              <w:t xml:space="preserve">Материальное исполнение</w:t>
            </w:r>
          </w:p>
        </w:tc>
        <w:tc>
          <w:tcPr>
            <w:tcW w:w="6954" w:type="dxa"/>
          </w:tcPr>
          <w:p>
            <w:r>
              <w:rPr>
                <w:sz w:val="17"/>
              </w:rPr>
              <w:t xml:space="preserve">Предложение без указания материала частей, контактирующих с рабочей средой, к оценке не принимается: по позициям гидрометаллургии стоимость исполнения из стали 316L и из сплавов 904L либо Hastelloy G-35 различается кратно.</w:t>
            </w:r>
          </w:p>
        </w:tc>
      </w:tr>
      <w:tr>
        <w:trPr>
          <w:cantSplit/>
        </w:trPr>
        <w:tc>
          <w:tcPr>
            <w:tcW w:w="2400" w:type="dxa"/>
          </w:tcPr>
          <w:p>
            <w:r>
              <w:rPr>
                <w:sz w:val="17"/>
              </w:rPr>
              <w:t xml:space="preserve">Подтверждение опыта</w:t>
            </w:r>
          </w:p>
        </w:tc>
        <w:tc>
          <w:tcPr>
            <w:tcW w:w="6954" w:type="dxa"/>
          </w:tcPr>
          <w:p>
            <w:r>
              <w:rPr>
                <w:sz w:val="17"/>
              </w:rPr>
              <w:t xml:space="preserve">Опыт подтверждается по продукту и рабочей среде, а не по классу оборудования: поставка аппарата того же типа на иную среду и иные параметры подтверждением не является.</w:t>
            </w:r>
          </w:p>
        </w:tc>
      </w:tr>
      <w:tr>
        <w:trPr>
          <w:cantSplit/>
        </w:trPr>
        <w:tc>
          <w:tcPr>
            <w:tcW w:w="2400" w:type="dxa"/>
          </w:tcPr>
          <w:p>
            <w:r>
              <w:rPr>
                <w:sz w:val="17"/>
              </w:rPr>
              <w:t xml:space="preserve">Состав перечня адресатов</w:t>
            </w:r>
          </w:p>
        </w:tc>
        <w:tc>
          <w:tcPr>
            <w:tcW w:w="6954" w:type="dxa"/>
          </w:tcPr>
          <w:p>
            <w:r>
              <w:rPr>
                <w:sz w:val="17"/>
              </w:rPr>
              <w:t xml:space="preserve">По каждой позиции в перечень адресатов включается не менее одного российского и не менее одного зарубежного изготовителя.</w:t>
            </w:r>
          </w:p>
        </w:tc>
      </w:tr>
      <w:tr>
        <w:trPr>
          <w:cantSplit/>
        </w:trPr>
        <w:tc>
          <w:tcPr>
            <w:tcW w:w="2400" w:type="dxa"/>
          </w:tcPr>
          <w:p>
            <w:r>
              <w:rPr>
                <w:sz w:val="17"/>
              </w:rPr>
              <w:t xml:space="preserve">Сроки и логистика</w:t>
            </w:r>
          </w:p>
        </w:tc>
        <w:tc>
          <w:tcPr>
            <w:tcW w:w="6954" w:type="dxa"/>
          </w:tcPr>
          <w:p>
            <w:r>
              <w:rPr>
                <w:sz w:val="17"/>
              </w:rPr>
              <w:t xml:space="preserve">Срок изготовления и условия поставки фиксируются в предложении письменно: они входят в исходные требования на оборудование длительного цикла изготовления и в график поставки.</w:t>
            </w:r>
          </w:p>
        </w:tc>
      </w:tr>
    </w:tbl>
    <w:p>
      <w:pPr>
        <w:pStyle w:val="Heading2"/>
      </w:pPr>
      <w:r>
        <w:rPr>
          <w:b/>
          <w:sz w:val="24"/>
        </w:rPr>
        <w:t xml:space="preserve">4.5 Статус запросов</w:t>
      </w:r>
    </w:p>
    <w:p>
      <w:r>
        <w:rPr>
          <w:sz w:val="20"/>
        </w:rPr>
        <w:t xml:space="preserve">Комплекты запросов подготовлены по 11 позициям реестра раздела 3, включая позиции систем управления и приборов контроля, общие для всех лотов комплекса. Комплекты сведены в документе выпуска ОВЭ75-БИ-ОБ-ТКП «Реестр запросов бюджетных технико-коммерческих предложений».</w:t>
      </w:r>
    </w:p>
    <w:p>
      <w:r>
        <w:rPr>
          <w:sz w:val="20"/>
        </w:rPr>
        <w:t xml:space="preserve">Рассылка запросов выполняется после решения Заказчика: до рассылки согласовываются перечень основного оборудования, выносимого на бюджетные предложения, и перечень адресатов по каждой позиции. Такой порядок исключает обращение к изготовителям от имени проекта до согласования состава закупочных позиций и позволяет учесть действующие рамочные отношения Заказчика с изготовителями.</w:t>
      </w:r>
    </w:p>
    <w:p>
      <w:r>
        <w:rPr>
          <w:sz w:val="20"/>
        </w:rPr>
        <w:t xml:space="preserve">По позициям раздела 3.3 комплекты запросов формируются после выпуска опросных листов; их рассылка выполняется в том же порядке.</w:t>
      </w:r>
    </w:p>
    <w:p>
      <w:pPr>
        <w:pStyle w:val="Heading1"/>
      </w:pPr>
      <w:r>
        <w:rPr>
          <w:b/>
          <w:sz w:val="28"/>
        </w:rPr>
        <w:t xml:space="preserve">5. Сопоставление предложений</w:t>
      </w:r>
    </w:p>
    <w:p>
      <w:pPr>
        <w:pStyle w:val="Heading2"/>
      </w:pPr>
      <w:r>
        <w:rPr>
          <w:b/>
          <w:sz w:val="24"/>
        </w:rPr>
        <w:t xml:space="preserve">5.1 Приведение к единому базису</w:t>
      </w:r>
    </w:p>
    <w:p>
      <w:r>
        <w:rPr>
          <w:sz w:val="20"/>
        </w:rPr>
        <w:t xml:space="preserve">Полученные предложения приводятся к единому базису до сопоставления. Приведению подлежат: базис поставки (значения EXW и DDP разделяются, для сопоставления принимается DDP Мончегорск), валюта и курс на дату уровня цен, комплектность поставки (приборы контроля, запасные части, документация, шеф-монтаж и пусконаладочные работы), объём поставки по опросному листу и объём заводских испытаний. Разница в комплектности устраняется дозапросом недостающих позиций, а не пересчётом цены.</w:t>
      </w:r>
    </w:p>
    <w:p>
      <w:r>
        <w:rPr>
          <w:sz w:val="20"/>
        </w:rPr>
        <w:t xml:space="preserve">Предложения, отличающиеся материальным исполнением частей, контактирующих с рабочей средой, к сопоставлению не принимаются: они относятся к разным техническим решениям и сравниваются только после приведения исполнения к требованиям опросного листа.</w:t>
      </w:r>
    </w:p>
    <w:p>
      <w:pPr>
        <w:pStyle w:val="Heading2"/>
      </w:pPr>
      <w:r>
        <w:rPr>
          <w:b/>
          <w:sz w:val="24"/>
        </w:rPr>
        <w:t xml:space="preserve">5.2 Форма сопоставления предложений по позиции</w:t>
      </w:r>
    </w:p>
    <w:p>
      <w:r>
        <w:rPr>
          <w:sz w:val="20"/>
        </w:rPr>
        <w:t xml:space="preserve">Форма заполняется по каждой закупочной позиции реестра раздела 3. Число граф предложений соответствует числу принятых к оценке предложений, но не менее трёх.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2700"/>
        <w:gridCol w:w="2218"/>
        <w:gridCol w:w="2218"/>
        <w:gridCol w:w="2218"/>
      </w:tblGrid>
      <w:tr>
        <w:trPr>
          <w:tblHeader/>
          <w:cantSplit/>
        </w:trPr>
        <w:tc>
          <w:tcPr>
            <w:tcW w:w="2700" w:type="dxa"/>
            <w:shd w:val="clear" w:fill="EFEFEF"/>
          </w:tcPr>
          <w:p>
            <w:r>
              <w:rPr>
                <w:b/>
                <w:sz w:val="15"/>
              </w:rPr>
              <w:t xml:space="preserve">Показатель</w:t>
            </w:r>
          </w:p>
        </w:tc>
        <w:tc>
          <w:tcPr>
            <w:tcW w:w="2218" w:type="dxa"/>
            <w:shd w:val="clear" w:fill="EFEFEF"/>
          </w:tcPr>
          <w:p>
            <w:r>
              <w:rPr>
                <w:b/>
                <w:sz w:val="15"/>
              </w:rPr>
              <w:t xml:space="preserve">Предложение 1</w:t>
            </w:r>
          </w:p>
        </w:tc>
        <w:tc>
          <w:tcPr>
            <w:tcW w:w="2218" w:type="dxa"/>
            <w:shd w:val="clear" w:fill="EFEFEF"/>
          </w:tcPr>
          <w:p>
            <w:r>
              <w:rPr>
                <w:b/>
                <w:sz w:val="15"/>
              </w:rPr>
              <w:t xml:space="preserve">Предложение 2</w:t>
            </w:r>
          </w:p>
        </w:tc>
        <w:tc>
          <w:tcPr>
            <w:tcW w:w="2218" w:type="dxa"/>
            <w:shd w:val="clear" w:fill="EFEFEF"/>
          </w:tcPr>
          <w:p>
            <w:r>
              <w:rPr>
                <w:b/>
                <w:sz w:val="15"/>
              </w:rPr>
              <w:t xml:space="preserve">Предложение 3</w:t>
            </w:r>
          </w:p>
        </w:tc>
      </w:tr>
      <w:tr>
        <w:trPr>
          <w:cantSplit/>
        </w:trPr>
        <w:tc>
          <w:tcPr>
            <w:tcW w:w="2700" w:type="dxa"/>
          </w:tcPr>
          <w:p>
            <w:r>
              <w:rPr>
                <w:sz w:val="17"/>
              </w:rPr>
              <w:t xml:space="preserve">Изготовитель, страна</w:t>
            </w:r>
          </w:p>
        </w:tc>
        <w:tc>
          <w:tcPr>
            <w:tcW w:w="2218" w:type="dxa"/>
          </w:tcPr>
          <w:p>
            <w:r>
              <w:rPr>
                <w:sz w:val="17"/>
              </w:rPr>
              <w:t xml:space="preserve"/>
            </w:r>
          </w:p>
        </w:tc>
        <w:tc>
          <w:tcPr>
            <w:tcW w:w="2218" w:type="dxa"/>
          </w:tcPr>
          <w:p>
            <w:r>
              <w:rPr>
                <w:sz w:val="17"/>
              </w:rPr>
              <w:t xml:space="preserve"/>
            </w:r>
          </w:p>
        </w:tc>
        <w:tc>
          <w:tcPr>
            <w:tcW w:w="2218" w:type="dxa"/>
          </w:tcPr>
          <w:p>
            <w:r>
              <w:rPr>
                <w:sz w:val="17"/>
              </w:rPr>
              <w:t xml:space="preserve"/>
            </w:r>
          </w:p>
        </w:tc>
      </w:tr>
      <w:tr>
        <w:trPr>
          <w:cantSplit/>
        </w:trPr>
        <w:tc>
          <w:tcPr>
            <w:tcW w:w="2700" w:type="dxa"/>
          </w:tcPr>
          <w:p>
            <w:r>
              <w:rPr>
                <w:sz w:val="17"/>
              </w:rPr>
              <w:t xml:space="preserve">Соответствие требованиям опросного листа</w:t>
            </w:r>
          </w:p>
        </w:tc>
        <w:tc>
          <w:tcPr>
            <w:tcW w:w="2218" w:type="dxa"/>
          </w:tcPr>
          <w:p>
            <w:r>
              <w:rPr>
                <w:sz w:val="17"/>
              </w:rPr>
              <w:t xml:space="preserve"/>
            </w:r>
          </w:p>
        </w:tc>
        <w:tc>
          <w:tcPr>
            <w:tcW w:w="2218" w:type="dxa"/>
          </w:tcPr>
          <w:p>
            <w:r>
              <w:rPr>
                <w:sz w:val="17"/>
              </w:rPr>
              <w:t xml:space="preserve"/>
            </w:r>
          </w:p>
        </w:tc>
        <w:tc>
          <w:tcPr>
            <w:tcW w:w="2218" w:type="dxa"/>
          </w:tcPr>
          <w:p>
            <w:r>
              <w:rPr>
                <w:sz w:val="17"/>
              </w:rPr>
              <w:t xml:space="preserve"/>
            </w:r>
          </w:p>
        </w:tc>
      </w:tr>
      <w:tr>
        <w:trPr>
          <w:cantSplit/>
        </w:trPr>
        <w:tc>
          <w:tcPr>
            <w:tcW w:w="2700" w:type="dxa"/>
          </w:tcPr>
          <w:p>
            <w:r>
              <w:rPr>
                <w:sz w:val="17"/>
              </w:rPr>
              <w:t xml:space="preserve">Материал частей, контактирующих с рабочей средой</w:t>
            </w:r>
          </w:p>
        </w:tc>
        <w:tc>
          <w:tcPr>
            <w:tcW w:w="2218" w:type="dxa"/>
          </w:tcPr>
          <w:p>
            <w:r>
              <w:rPr>
                <w:sz w:val="17"/>
              </w:rPr>
              <w:t xml:space="preserve"/>
            </w:r>
          </w:p>
        </w:tc>
        <w:tc>
          <w:tcPr>
            <w:tcW w:w="2218" w:type="dxa"/>
          </w:tcPr>
          <w:p>
            <w:r>
              <w:rPr>
                <w:sz w:val="17"/>
              </w:rPr>
              <w:t xml:space="preserve"/>
            </w:r>
          </w:p>
        </w:tc>
        <w:tc>
          <w:tcPr>
            <w:tcW w:w="2218" w:type="dxa"/>
          </w:tcPr>
          <w:p>
            <w:r>
              <w:rPr>
                <w:sz w:val="17"/>
              </w:rPr>
              <w:t xml:space="preserve"/>
            </w:r>
          </w:p>
        </w:tc>
      </w:tr>
      <w:tr>
        <w:trPr>
          <w:cantSplit/>
        </w:trPr>
        <w:tc>
          <w:tcPr>
            <w:tcW w:w="2700" w:type="dxa"/>
          </w:tcPr>
          <w:p>
            <w:r>
              <w:rPr>
                <w:sz w:val="17"/>
              </w:rPr>
              <w:t xml:space="preserve">Гарантируемые показатели</w:t>
            </w:r>
          </w:p>
        </w:tc>
        <w:tc>
          <w:tcPr>
            <w:tcW w:w="2218" w:type="dxa"/>
          </w:tcPr>
          <w:p>
            <w:r>
              <w:rPr>
                <w:sz w:val="17"/>
              </w:rPr>
              <w:t xml:space="preserve"/>
            </w:r>
          </w:p>
        </w:tc>
        <w:tc>
          <w:tcPr>
            <w:tcW w:w="2218" w:type="dxa"/>
          </w:tcPr>
          <w:p>
            <w:r>
              <w:rPr>
                <w:sz w:val="17"/>
              </w:rPr>
              <w:t xml:space="preserve"/>
            </w:r>
          </w:p>
        </w:tc>
        <w:tc>
          <w:tcPr>
            <w:tcW w:w="2218" w:type="dxa"/>
          </w:tcPr>
          <w:p>
            <w:r>
              <w:rPr>
                <w:sz w:val="17"/>
              </w:rPr>
              <w:t xml:space="preserve"/>
            </w:r>
          </w:p>
        </w:tc>
      </w:tr>
      <w:tr>
        <w:trPr>
          <w:cantSplit/>
        </w:trPr>
        <w:tc>
          <w:tcPr>
            <w:tcW w:w="2700" w:type="dxa"/>
          </w:tcPr>
          <w:p>
            <w:r>
              <w:rPr>
                <w:sz w:val="17"/>
              </w:rPr>
              <w:t xml:space="preserve">Комплектность поставки (приборы, запасные части, документация)</w:t>
            </w:r>
          </w:p>
        </w:tc>
        <w:tc>
          <w:tcPr>
            <w:tcW w:w="2218" w:type="dxa"/>
          </w:tcPr>
          <w:p>
            <w:r>
              <w:rPr>
                <w:sz w:val="17"/>
              </w:rPr>
              <w:t xml:space="preserve"/>
            </w:r>
          </w:p>
        </w:tc>
        <w:tc>
          <w:tcPr>
            <w:tcW w:w="2218" w:type="dxa"/>
          </w:tcPr>
          <w:p>
            <w:r>
              <w:rPr>
                <w:sz w:val="17"/>
              </w:rPr>
              <w:t xml:space="preserve"/>
            </w:r>
          </w:p>
        </w:tc>
        <w:tc>
          <w:tcPr>
            <w:tcW w:w="2218" w:type="dxa"/>
          </w:tcPr>
          <w:p>
            <w:r>
              <w:rPr>
                <w:sz w:val="17"/>
              </w:rPr>
              <w:t xml:space="preserve"/>
            </w:r>
          </w:p>
        </w:tc>
      </w:tr>
      <w:tr>
        <w:trPr>
          <w:cantSplit/>
        </w:trPr>
        <w:tc>
          <w:tcPr>
            <w:tcW w:w="2700" w:type="dxa"/>
          </w:tcPr>
          <w:p>
            <w:r>
              <w:rPr>
                <w:sz w:val="17"/>
              </w:rPr>
              <w:t xml:space="preserve">Цена на условиях EXW, валюта</w:t>
            </w:r>
          </w:p>
        </w:tc>
        <w:tc>
          <w:tcPr>
            <w:tcW w:w="2218" w:type="dxa"/>
          </w:tcPr>
          <w:p>
            <w:r>
              <w:rPr>
                <w:sz w:val="17"/>
              </w:rPr>
              <w:t xml:space="preserve">по ТКП</w:t>
            </w:r>
          </w:p>
        </w:tc>
        <w:tc>
          <w:tcPr>
            <w:tcW w:w="2218" w:type="dxa"/>
          </w:tcPr>
          <w:p>
            <w:r>
              <w:rPr>
                <w:sz w:val="17"/>
              </w:rPr>
              <w:t xml:space="preserve">по ТКП</w:t>
            </w:r>
          </w:p>
        </w:tc>
        <w:tc>
          <w:tcPr>
            <w:tcW w:w="2218" w:type="dxa"/>
          </w:tcPr>
          <w:p>
            <w:r>
              <w:rPr>
                <w:sz w:val="17"/>
              </w:rPr>
              <w:t xml:space="preserve">по ТКП</w:t>
            </w:r>
          </w:p>
        </w:tc>
      </w:tr>
      <w:tr>
        <w:trPr>
          <w:cantSplit/>
        </w:trPr>
        <w:tc>
          <w:tcPr>
            <w:tcW w:w="2700" w:type="dxa"/>
          </w:tcPr>
          <w:p>
            <w:r>
              <w:rPr>
                <w:sz w:val="17"/>
              </w:rPr>
              <w:t xml:space="preserve">Цена на условиях DDP Мончегорск, валюта</w:t>
            </w:r>
          </w:p>
        </w:tc>
        <w:tc>
          <w:tcPr>
            <w:tcW w:w="2218" w:type="dxa"/>
          </w:tcPr>
          <w:p>
            <w:r>
              <w:rPr>
                <w:sz w:val="17"/>
              </w:rPr>
              <w:t xml:space="preserve">по ТКП</w:t>
            </w:r>
          </w:p>
        </w:tc>
        <w:tc>
          <w:tcPr>
            <w:tcW w:w="2218" w:type="dxa"/>
          </w:tcPr>
          <w:p>
            <w:r>
              <w:rPr>
                <w:sz w:val="17"/>
              </w:rPr>
              <w:t xml:space="preserve">по ТКП</w:t>
            </w:r>
          </w:p>
        </w:tc>
        <w:tc>
          <w:tcPr>
            <w:tcW w:w="2218" w:type="dxa"/>
          </w:tcPr>
          <w:p>
            <w:r>
              <w:rPr>
                <w:sz w:val="17"/>
              </w:rPr>
              <w:t xml:space="preserve">по ТКП</w:t>
            </w:r>
          </w:p>
        </w:tc>
      </w:tr>
      <w:tr>
        <w:trPr>
          <w:cantSplit/>
        </w:trPr>
        <w:tc>
          <w:tcPr>
            <w:tcW w:w="2700" w:type="dxa"/>
          </w:tcPr>
          <w:p>
            <w:r>
              <w:rPr>
                <w:sz w:val="17"/>
              </w:rPr>
              <w:t xml:space="preserve">Срок действия предложения</w:t>
            </w:r>
          </w:p>
        </w:tc>
        <w:tc>
          <w:tcPr>
            <w:tcW w:w="2218" w:type="dxa"/>
          </w:tcPr>
          <w:p>
            <w:r>
              <w:rPr>
                <w:sz w:val="17"/>
              </w:rPr>
              <w:t xml:space="preserve"/>
            </w:r>
          </w:p>
        </w:tc>
        <w:tc>
          <w:tcPr>
            <w:tcW w:w="2218" w:type="dxa"/>
          </w:tcPr>
          <w:p>
            <w:r>
              <w:rPr>
                <w:sz w:val="17"/>
              </w:rPr>
              <w:t xml:space="preserve"/>
            </w:r>
          </w:p>
        </w:tc>
        <w:tc>
          <w:tcPr>
            <w:tcW w:w="2218" w:type="dxa"/>
          </w:tcPr>
          <w:p>
            <w:r>
              <w:rPr>
                <w:sz w:val="17"/>
              </w:rPr>
              <w:t xml:space="preserve"/>
            </w:r>
          </w:p>
        </w:tc>
      </w:tr>
      <w:tr>
        <w:trPr>
          <w:cantSplit/>
        </w:trPr>
        <w:tc>
          <w:tcPr>
            <w:tcW w:w="2700" w:type="dxa"/>
          </w:tcPr>
          <w:p>
            <w:r>
              <w:rPr>
                <w:sz w:val="17"/>
              </w:rPr>
              <w:t xml:space="preserve">Срок изготовления, недель от даты заказа</w:t>
            </w:r>
          </w:p>
        </w:tc>
        <w:tc>
          <w:tcPr>
            <w:tcW w:w="2218" w:type="dxa"/>
          </w:tcPr>
          <w:p>
            <w:r>
              <w:rPr>
                <w:sz w:val="17"/>
              </w:rPr>
              <w:t xml:space="preserve"/>
            </w:r>
          </w:p>
        </w:tc>
        <w:tc>
          <w:tcPr>
            <w:tcW w:w="2218" w:type="dxa"/>
          </w:tcPr>
          <w:p>
            <w:r>
              <w:rPr>
                <w:sz w:val="17"/>
              </w:rPr>
              <w:t xml:space="preserve"/>
            </w:r>
          </w:p>
        </w:tc>
        <w:tc>
          <w:tcPr>
            <w:tcW w:w="2218" w:type="dxa"/>
          </w:tcPr>
          <w:p>
            <w:r>
              <w:rPr>
                <w:sz w:val="17"/>
              </w:rPr>
              <w:t xml:space="preserve"/>
            </w:r>
          </w:p>
        </w:tc>
      </w:tr>
      <w:tr>
        <w:trPr>
          <w:cantSplit/>
        </w:trPr>
        <w:tc>
          <w:tcPr>
            <w:tcW w:w="2700" w:type="dxa"/>
          </w:tcPr>
          <w:p>
            <w:r>
              <w:rPr>
                <w:sz w:val="17"/>
              </w:rPr>
              <w:t xml:space="preserve">Масса и габариты наибольшего поставочного блока</w:t>
            </w:r>
          </w:p>
        </w:tc>
        <w:tc>
          <w:tcPr>
            <w:tcW w:w="2218" w:type="dxa"/>
          </w:tcPr>
          <w:p>
            <w:r>
              <w:rPr>
                <w:sz w:val="17"/>
              </w:rPr>
              <w:t xml:space="preserve"/>
            </w:r>
          </w:p>
        </w:tc>
        <w:tc>
          <w:tcPr>
            <w:tcW w:w="2218" w:type="dxa"/>
          </w:tcPr>
          <w:p>
            <w:r>
              <w:rPr>
                <w:sz w:val="17"/>
              </w:rPr>
              <w:t xml:space="preserve"/>
            </w:r>
          </w:p>
        </w:tc>
        <w:tc>
          <w:tcPr>
            <w:tcW w:w="2218" w:type="dxa"/>
          </w:tcPr>
          <w:p>
            <w:r>
              <w:rPr>
                <w:sz w:val="17"/>
              </w:rPr>
              <w:t xml:space="preserve"/>
            </w:r>
          </w:p>
        </w:tc>
      </w:tr>
      <w:tr>
        <w:trPr>
          <w:cantSplit/>
        </w:trPr>
        <w:tc>
          <w:tcPr>
            <w:tcW w:w="2700" w:type="dxa"/>
          </w:tcPr>
          <w:p>
            <w:r>
              <w:rPr>
                <w:sz w:val="17"/>
              </w:rPr>
              <w:t xml:space="preserve">Шеф-монтаж и пусконаладочные работы</w:t>
            </w:r>
          </w:p>
        </w:tc>
        <w:tc>
          <w:tcPr>
            <w:tcW w:w="2218" w:type="dxa"/>
          </w:tcPr>
          <w:p>
            <w:r>
              <w:rPr>
                <w:sz w:val="17"/>
              </w:rPr>
              <w:t xml:space="preserve"/>
            </w:r>
          </w:p>
        </w:tc>
        <w:tc>
          <w:tcPr>
            <w:tcW w:w="2218" w:type="dxa"/>
          </w:tcPr>
          <w:p>
            <w:r>
              <w:rPr>
                <w:sz w:val="17"/>
              </w:rPr>
              <w:t xml:space="preserve"/>
            </w:r>
          </w:p>
        </w:tc>
        <w:tc>
          <w:tcPr>
            <w:tcW w:w="2218" w:type="dxa"/>
          </w:tcPr>
          <w:p>
            <w:r>
              <w:rPr>
                <w:sz w:val="17"/>
              </w:rPr>
              <w:t xml:space="preserve"/>
            </w:r>
          </w:p>
        </w:tc>
      </w:tr>
      <w:tr>
        <w:trPr>
          <w:cantSplit/>
        </w:trPr>
        <w:tc>
          <w:tcPr>
            <w:tcW w:w="2700" w:type="dxa"/>
          </w:tcPr>
          <w:p>
            <w:r>
              <w:rPr>
                <w:sz w:val="17"/>
              </w:rPr>
              <w:t xml:space="preserve">Подтверждение опыта по продукту и среде</w:t>
            </w:r>
          </w:p>
        </w:tc>
        <w:tc>
          <w:tcPr>
            <w:tcW w:w="2218" w:type="dxa"/>
          </w:tcPr>
          <w:p>
            <w:r>
              <w:rPr>
                <w:sz w:val="17"/>
              </w:rPr>
              <w:t xml:space="preserve"/>
            </w:r>
          </w:p>
        </w:tc>
        <w:tc>
          <w:tcPr>
            <w:tcW w:w="2218" w:type="dxa"/>
          </w:tcPr>
          <w:p>
            <w:r>
              <w:rPr>
                <w:sz w:val="17"/>
              </w:rPr>
              <w:t xml:space="preserve"/>
            </w:r>
          </w:p>
        </w:tc>
        <w:tc>
          <w:tcPr>
            <w:tcW w:w="2218" w:type="dxa"/>
          </w:tcPr>
          <w:p>
            <w:r>
              <w:rPr>
                <w:sz w:val="17"/>
              </w:rPr>
              <w:t xml:space="preserve"/>
            </w:r>
          </w:p>
        </w:tc>
      </w:tr>
      <w:tr>
        <w:trPr>
          <w:cantSplit/>
        </w:trPr>
        <w:tc>
          <w:tcPr>
            <w:tcW w:w="2700" w:type="dxa"/>
          </w:tcPr>
          <w:p>
            <w:r>
              <w:rPr>
                <w:sz w:val="17"/>
              </w:rPr>
              <w:t xml:space="preserve">Принято к сопоставлению</w:t>
            </w:r>
          </w:p>
        </w:tc>
        <w:tc>
          <w:tcPr>
            <w:tcW w:w="2218" w:type="dxa"/>
          </w:tcPr>
          <w:p>
            <w:r>
              <w:rPr>
                <w:sz w:val="17"/>
              </w:rPr>
              <w:t xml:space="preserve"/>
            </w:r>
          </w:p>
        </w:tc>
        <w:tc>
          <w:tcPr>
            <w:tcW w:w="2218" w:type="dxa"/>
          </w:tcPr>
          <w:p>
            <w:r>
              <w:rPr>
                <w:sz w:val="17"/>
              </w:rPr>
              <w:t xml:space="preserve"/>
            </w:r>
          </w:p>
        </w:tc>
        <w:tc>
          <w:tcPr>
            <w:tcW w:w="2218" w:type="dxa"/>
          </w:tcPr>
          <w:p>
            <w:r>
              <w:rPr>
                <w:sz w:val="17"/>
              </w:rPr>
              <w:t xml:space="preserve"/>
            </w:r>
          </w:p>
        </w:tc>
      </w:tr>
    </w:tbl>
    <w:p>
      <w:pPr>
        <w:pStyle w:val="Heading2"/>
      </w:pPr>
      <w:r>
        <w:rPr>
          <w:b/>
          <w:sz w:val="24"/>
        </w:rPr>
        <w:t xml:space="preserve">5.3 Принятие значения в оценку</w:t>
      </w:r>
    </w:p>
    <w:p>
      <w:r>
        <w:rPr>
          <w:sz w:val="20"/>
        </w:rPr>
        <w:t xml:space="preserve">В бюджетную оценку по позиции принимается значение из предложения, отвечающего техническим требованиям опросного листа и подтверждённого опытом поставки по продукту и рабочей среде. В сводке по позиции указываются: принятое значение, диапазон полученных значений, число сопоставимых предложений и изготовитель, предложение которого принято. Если сопоставимых предложений меньше трёх, к сводке прилагается обоснование с перечнем адресатов и полученных отказов, а по позиции назначается повышенный резерв в соответствии с разделом 2.3.</w:t>
      </w:r>
    </w:p>
    <w:p>
      <w:r>
        <w:rPr>
          <w:color w:val="555555"/>
          <w:sz w:val="18"/>
        </w:rPr>
        <w:t xml:space="preserve">Принятое в бюджетную оценку значение не является результатом выбора поставщика: выбор изготовителя выполняется Заказчиком на закупочной стадии по итогам конкурентных процедур с уточнёнными опросными листами.</w:t>
      </w:r>
    </w:p>
    <w:p>
      <w:pPr>
        <w:pStyle w:val="Heading1"/>
      </w:pPr>
      <w:r>
        <w:rPr>
          <w:b/>
          <w:sz w:val="28"/>
        </w:rPr>
        <w:t xml:space="preserve">6. Форма итоговой сводки стоимости поставки</w:t>
      </w:r>
    </w:p>
    <w:p>
      <w:pPr>
        <w:pStyle w:val="Heading2"/>
      </w:pPr>
      <w:r>
        <w:rPr>
          <w:b/>
          <w:sz w:val="24"/>
        </w:rPr>
        <w:t xml:space="preserve">6.1 Структура сводки</w:t>
      </w:r>
    </w:p>
    <w:p>
      <w:r>
        <w:rPr>
          <w:sz w:val="20"/>
        </w:rPr>
        <w:t xml:space="preserve">Сводка стоимости комплектной поставки лота строится по группам оборудования, материалов и услуг. Для каждой группы указано основание оценки: бюджетные предложения изготовителей либо укрупнённые показатели. Ценовые графы в настоящей ревизии не заполняются.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2200"/>
        <w:gridCol w:w="4054"/>
        <w:gridCol w:w="1800"/>
        <w:gridCol w:w="1300"/>
      </w:tblGrid>
      <w:tr>
        <w:trPr>
          <w:tblHeader/>
          <w:cantSplit/>
        </w:trPr>
        <w:tc>
          <w:tcPr>
            <w:tcW w:w="2200" w:type="dxa"/>
            <w:shd w:val="clear" w:fill="EFEFEF"/>
          </w:tcPr>
          <w:p>
            <w:r>
              <w:rPr>
                <w:b/>
                <w:sz w:val="15"/>
              </w:rPr>
              <w:t xml:space="preserve">Группа</w:t>
            </w:r>
          </w:p>
        </w:tc>
        <w:tc>
          <w:tcPr>
            <w:tcW w:w="4054" w:type="dxa"/>
            <w:shd w:val="clear" w:fill="EFEFEF"/>
          </w:tcPr>
          <w:p>
            <w:r>
              <w:rPr>
                <w:b/>
                <w:sz w:val="15"/>
              </w:rPr>
              <w:t xml:space="preserve">Состав поставки</w:t>
            </w:r>
          </w:p>
        </w:tc>
        <w:tc>
          <w:tcPr>
            <w:tcW w:w="1800" w:type="dxa"/>
            <w:shd w:val="clear" w:fill="EFEFEF"/>
          </w:tcPr>
          <w:p>
            <w:r>
              <w:rPr>
                <w:b/>
                <w:sz w:val="15"/>
              </w:rPr>
              <w:t xml:space="preserve">Основание оценки</w:t>
            </w:r>
          </w:p>
        </w:tc>
        <w:tc>
          <w:tcPr>
            <w:tcW w:w="1300" w:type="dxa"/>
            <w:shd w:val="clear" w:fill="EFEFEF"/>
          </w:tcPr>
          <w:p>
            <w:r>
              <w:rPr>
                <w:b/>
                <w:sz w:val="15"/>
              </w:rPr>
              <w:t xml:space="preserve">Стоимость</w:t>
            </w:r>
          </w:p>
        </w:tc>
      </w:tr>
      <w:tr>
        <w:trPr>
          <w:cantSplit/>
        </w:trPr>
        <w:tc>
          <w:tcPr>
            <w:tcW w:w="2200" w:type="dxa"/>
          </w:tcPr>
          <w:p>
            <w:r>
              <w:rPr>
                <w:sz w:val="17"/>
              </w:rPr>
              <w:t xml:space="preserve">Шихтоподготовка</w:t>
            </w:r>
          </w:p>
        </w:tc>
        <w:tc>
          <w:tcPr>
            <w:tcW w:w="4054" w:type="dxa"/>
          </w:tcPr>
          <w:p>
            <w:r>
              <w:rPr>
                <w:sz w:val="17"/>
              </w:rPr>
              <w:t xml:space="preserve">Питатели, весовые дозаторы, смеситель, ленточные конвейеры, бункеры и течки</w:t>
            </w:r>
          </w:p>
        </w:tc>
        <w:tc>
          <w:tcPr>
            <w:tcW w:w="1800" w:type="dxa"/>
          </w:tcPr>
          <w:p>
            <w:r>
              <w:rPr>
                <w:sz w:val="17"/>
              </w:rPr>
              <w:t xml:space="preserve">Бюджетные предложения</w:t>
            </w:r>
          </w:p>
        </w:tc>
        <w:tc>
          <w:tcPr>
            <w:tcW w:w="1300" w:type="dxa"/>
          </w:tcPr>
          <w:p>
            <w:r>
              <w:rPr>
                <w:sz w:val="17"/>
              </w:rPr>
              <w:t xml:space="preserve">по ТКП</w:t>
            </w:r>
          </w:p>
        </w:tc>
      </w:tr>
      <w:tr>
        <w:trPr>
          <w:cantSplit/>
        </w:trPr>
        <w:tc>
          <w:tcPr>
            <w:tcW w:w="2200" w:type="dxa"/>
          </w:tcPr>
          <w:p>
            <w:r>
              <w:rPr>
                <w:sz w:val="17"/>
              </w:rPr>
              <w:t xml:space="preserve">Фильтрация концентрата</w:t>
            </w:r>
          </w:p>
        </w:tc>
        <w:tc>
          <w:tcPr>
            <w:tcW w:w="4054" w:type="dxa"/>
          </w:tcPr>
          <w:p>
            <w:r>
              <w:rPr>
                <w:sz w:val="17"/>
              </w:rPr>
              <w:t xml:space="preserve">Барабанные вакуум-фильтры с вакуум-станцией, ёмкость приёма фильтрата</w:t>
            </w:r>
          </w:p>
        </w:tc>
        <w:tc>
          <w:tcPr>
            <w:tcW w:w="1800" w:type="dxa"/>
          </w:tcPr>
          <w:p>
            <w:r>
              <w:rPr>
                <w:sz w:val="17"/>
              </w:rPr>
              <w:t xml:space="preserve">Бюджетные предложения</w:t>
            </w:r>
          </w:p>
        </w:tc>
        <w:tc>
          <w:tcPr>
            <w:tcW w:w="1300" w:type="dxa"/>
          </w:tcPr>
          <w:p>
            <w:r>
              <w:rPr>
                <w:sz w:val="17"/>
              </w:rPr>
              <w:t xml:space="preserve">по ТКП</w:t>
            </w:r>
          </w:p>
        </w:tc>
      </w:tr>
      <w:tr>
        <w:trPr>
          <w:cantSplit/>
        </w:trPr>
        <w:tc>
          <w:tcPr>
            <w:tcW w:w="2200" w:type="dxa"/>
          </w:tcPr>
          <w:p>
            <w:r>
              <w:rPr>
                <w:sz w:val="17"/>
              </w:rPr>
              <w:t xml:space="preserve">Печной комплекс</w:t>
            </w:r>
          </w:p>
        </w:tc>
        <w:tc>
          <w:tcPr>
            <w:tcW w:w="4054" w:type="dxa"/>
          </w:tcPr>
          <w:p>
            <w:r>
              <w:rPr>
                <w:sz w:val="17"/>
              </w:rPr>
              <w:t xml:space="preserve">Печь кипящего слоя с подиной, порогами и забрасывателем, воздуходувка дутья, топка-смеситель и горелки</w:t>
            </w:r>
          </w:p>
        </w:tc>
        <w:tc>
          <w:tcPr>
            <w:tcW w:w="1800" w:type="dxa"/>
          </w:tcPr>
          <w:p>
            <w:r>
              <w:rPr>
                <w:sz w:val="17"/>
              </w:rPr>
              <w:t xml:space="preserve">Бюджетные предложения</w:t>
            </w:r>
          </w:p>
        </w:tc>
        <w:tc>
          <w:tcPr>
            <w:tcW w:w="1300" w:type="dxa"/>
          </w:tcPr>
          <w:p>
            <w:r>
              <w:rPr>
                <w:sz w:val="17"/>
              </w:rPr>
              <w:t xml:space="preserve">по ТКП</w:t>
            </w:r>
          </w:p>
        </w:tc>
      </w:tr>
      <w:tr>
        <w:trPr>
          <w:cantSplit/>
        </w:trPr>
        <w:tc>
          <w:tcPr>
            <w:tcW w:w="2200" w:type="dxa"/>
          </w:tcPr>
          <w:p>
            <w:r>
              <w:rPr>
                <w:sz w:val="17"/>
              </w:rPr>
              <w:t xml:space="preserve">Газоочистка</w:t>
            </w:r>
          </w:p>
        </w:tc>
        <w:tc>
          <w:tcPr>
            <w:tcW w:w="4054" w:type="dxa"/>
          </w:tcPr>
          <w:p>
            <w:r>
              <w:rPr>
                <w:sz w:val="17"/>
              </w:rPr>
              <w:t xml:space="preserve">Котёл-утилизатор, одиночный циклон, сухие электрофильтры с агрегатами питания, дымососы</w:t>
            </w:r>
          </w:p>
        </w:tc>
        <w:tc>
          <w:tcPr>
            <w:tcW w:w="1800" w:type="dxa"/>
          </w:tcPr>
          <w:p>
            <w:r>
              <w:rPr>
                <w:sz w:val="17"/>
              </w:rPr>
              <w:t xml:space="preserve">Бюджетные предложения</w:t>
            </w:r>
          </w:p>
        </w:tc>
        <w:tc>
          <w:tcPr>
            <w:tcW w:w="1300" w:type="dxa"/>
          </w:tcPr>
          <w:p>
            <w:r>
              <w:rPr>
                <w:sz w:val="17"/>
              </w:rPr>
              <w:t xml:space="preserve">по ТКП</w:t>
            </w:r>
          </w:p>
        </w:tc>
      </w:tr>
      <w:tr>
        <w:trPr>
          <w:cantSplit/>
        </w:trPr>
        <w:tc>
          <w:tcPr>
            <w:tcW w:w="2200" w:type="dxa"/>
          </w:tcPr>
          <w:p>
            <w:r>
              <w:rPr>
                <w:sz w:val="17"/>
              </w:rPr>
              <w:t xml:space="preserve">Охлаждение и отгрузка продуктов</w:t>
            </w:r>
          </w:p>
        </w:tc>
        <w:tc>
          <w:tcPr>
            <w:tcW w:w="4054" w:type="dxa"/>
          </w:tcPr>
          <w:p>
            <w:r>
              <w:rPr>
                <w:sz w:val="17"/>
              </w:rPr>
              <w:t xml:space="preserve">Шнековые холодильники, силосы огарка и пыли, узел налива автотранспорта</w:t>
            </w:r>
          </w:p>
        </w:tc>
        <w:tc>
          <w:tcPr>
            <w:tcW w:w="1800" w:type="dxa"/>
          </w:tcPr>
          <w:p>
            <w:r>
              <w:rPr>
                <w:sz w:val="17"/>
              </w:rPr>
              <w:t xml:space="preserve">Бюджетные предложения</w:t>
            </w:r>
          </w:p>
        </w:tc>
        <w:tc>
          <w:tcPr>
            <w:tcW w:w="1300" w:type="dxa"/>
          </w:tcPr>
          <w:p>
            <w:r>
              <w:rPr>
                <w:sz w:val="17"/>
              </w:rPr>
              <w:t xml:space="preserve">по ТКП</w:t>
            </w:r>
          </w:p>
        </w:tc>
      </w:tr>
      <w:tr>
        <w:trPr>
          <w:cantSplit/>
        </w:trPr>
        <w:tc>
          <w:tcPr>
            <w:tcW w:w="2200" w:type="dxa"/>
          </w:tcPr>
          <w:p>
            <w:r>
              <w:rPr>
                <w:sz w:val="17"/>
              </w:rPr>
              <w:t xml:space="preserve">Аспирация</w:t>
            </w:r>
          </w:p>
        </w:tc>
        <w:tc>
          <w:tcPr>
            <w:tcW w:w="4054" w:type="dxa"/>
          </w:tcPr>
          <w:p>
            <w:r>
              <w:rPr>
                <w:sz w:val="17"/>
              </w:rPr>
              <w:t xml:space="preserve">Рукавные фильтры, дымососы на свечу, укрытия и воздуховоды</w:t>
            </w:r>
          </w:p>
        </w:tc>
        <w:tc>
          <w:tcPr>
            <w:tcW w:w="1800" w:type="dxa"/>
          </w:tcPr>
          <w:p>
            <w:r>
              <w:rPr>
                <w:sz w:val="17"/>
              </w:rPr>
              <w:t xml:space="preserve">Бюджетные предложения</w:t>
            </w:r>
          </w:p>
        </w:tc>
        <w:tc>
          <w:tcPr>
            <w:tcW w:w="1300" w:type="dxa"/>
          </w:tcPr>
          <w:p>
            <w:r>
              <w:rPr>
                <w:sz w:val="17"/>
              </w:rPr>
              <w:t xml:space="preserve">по ТКП</w:t>
            </w:r>
          </w:p>
        </w:tc>
      </w:tr>
      <w:tr>
        <w:trPr>
          <w:cantSplit/>
        </w:trPr>
        <w:tc>
          <w:tcPr>
            <w:tcW w:w="2200" w:type="dxa"/>
          </w:tcPr>
          <w:p>
            <w:r>
              <w:rPr>
                <w:sz w:val="17"/>
              </w:rPr>
              <w:t xml:space="preserve">Контроль и автоматизация</w:t>
            </w:r>
          </w:p>
        </w:tc>
        <w:tc>
          <w:tcPr>
            <w:tcW w:w="4054" w:type="dxa"/>
          </w:tcPr>
          <w:p>
            <w:r>
              <w:rPr>
                <w:sz w:val="17"/>
              </w:rPr>
              <w:t xml:space="preserve">Приборы контроля, комплекс технических средств системы управления, прикладное программное обеспечение</w:t>
            </w:r>
          </w:p>
        </w:tc>
        <w:tc>
          <w:tcPr>
            <w:tcW w:w="1800" w:type="dxa"/>
          </w:tcPr>
          <w:p>
            <w:r>
              <w:rPr>
                <w:sz w:val="17"/>
              </w:rPr>
              <w:t xml:space="preserve">Бюджетные предложения</w:t>
            </w:r>
          </w:p>
        </w:tc>
        <w:tc>
          <w:tcPr>
            <w:tcW w:w="1300" w:type="dxa"/>
          </w:tcPr>
          <w:p>
            <w:r>
              <w:rPr>
                <w:sz w:val="17"/>
              </w:rPr>
              <w:t xml:space="preserve">по ТКП</w:t>
            </w:r>
          </w:p>
        </w:tc>
      </w:tr>
      <w:tr>
        <w:trPr>
          <w:cantSplit/>
        </w:trPr>
        <w:tc>
          <w:tcPr>
            <w:tcW w:w="2200" w:type="dxa"/>
          </w:tcPr>
          <w:p>
            <w:r>
              <w:rPr>
                <w:sz w:val="17"/>
              </w:rPr>
              <w:t xml:space="preserve">Электрооборудование</w:t>
            </w:r>
          </w:p>
        </w:tc>
        <w:tc>
          <w:tcPr>
            <w:tcW w:w="4054" w:type="dxa"/>
          </w:tcPr>
          <w:p>
            <w:r>
              <w:rPr>
                <w:sz w:val="17"/>
              </w:rPr>
              <w:t xml:space="preserve">Электроприводы, шкафы и щиты в согласованных границах поставки</w:t>
            </w:r>
          </w:p>
        </w:tc>
        <w:tc>
          <w:tcPr>
            <w:tcW w:w="1800" w:type="dxa"/>
          </w:tcPr>
          <w:p>
            <w:r>
              <w:rPr>
                <w:sz w:val="17"/>
              </w:rPr>
              <w:t xml:space="preserve">Укрупнённые показатели</w:t>
            </w:r>
          </w:p>
        </w:tc>
        <w:tc>
          <w:tcPr>
            <w:tcW w:w="1300" w:type="dxa"/>
          </w:tcPr>
          <w:p>
            <w:r>
              <w:rPr>
                <w:sz w:val="17"/>
              </w:rPr>
              <w:t xml:space="preserve">по укрупнённым показателям</w:t>
            </w:r>
          </w:p>
        </w:tc>
      </w:tr>
      <w:tr>
        <w:trPr>
          <w:cantSplit/>
        </w:trPr>
        <w:tc>
          <w:tcPr>
            <w:tcW w:w="2200" w:type="dxa"/>
          </w:tcPr>
          <w:p>
            <w:r>
              <w:rPr>
                <w:sz w:val="17"/>
              </w:rPr>
              <w:t xml:space="preserve">Материалы</w:t>
            </w:r>
          </w:p>
        </w:tc>
        <w:tc>
          <w:tcPr>
            <w:tcW w:w="4054" w:type="dxa"/>
          </w:tcPr>
          <w:p>
            <w:r>
              <w:rPr>
                <w:sz w:val="17"/>
              </w:rPr>
              <w:t xml:space="preserve">Газоходы с футеровкой, трубопроводы, технологические металлоконструкции, футеровка, тепловая изоляция</w:t>
            </w:r>
          </w:p>
        </w:tc>
        <w:tc>
          <w:tcPr>
            <w:tcW w:w="1800" w:type="dxa"/>
          </w:tcPr>
          <w:p>
            <w:r>
              <w:rPr>
                <w:sz w:val="17"/>
              </w:rPr>
              <w:t xml:space="preserve">Укрупнённые показатели</w:t>
            </w:r>
          </w:p>
        </w:tc>
        <w:tc>
          <w:tcPr>
            <w:tcW w:w="1300" w:type="dxa"/>
          </w:tcPr>
          <w:p>
            <w:r>
              <w:rPr>
                <w:sz w:val="17"/>
              </w:rPr>
              <w:t xml:space="preserve">по укрупнённым показателям</w:t>
            </w:r>
          </w:p>
        </w:tc>
      </w:tr>
      <w:tr>
        <w:trPr>
          <w:cantSplit/>
        </w:trPr>
        <w:tc>
          <w:tcPr>
            <w:tcW w:w="2200" w:type="dxa"/>
          </w:tcPr>
          <w:p>
            <w:r>
              <w:rPr>
                <w:sz w:val="17"/>
              </w:rPr>
              <w:t xml:space="preserve">Услуги изготовителей</w:t>
            </w:r>
          </w:p>
        </w:tc>
        <w:tc>
          <w:tcPr>
            <w:tcW w:w="4054" w:type="dxa"/>
          </w:tcPr>
          <w:p>
            <w:r>
              <w:rPr>
                <w:sz w:val="17"/>
              </w:rPr>
              <w:t xml:space="preserve">Шеф-монтаж, пусконаладочные работы, обучение персонала, документация, в том числе цифровая информационная модель</w:t>
            </w:r>
          </w:p>
        </w:tc>
        <w:tc>
          <w:tcPr>
            <w:tcW w:w="1800" w:type="dxa"/>
          </w:tcPr>
          <w:p>
            <w:r>
              <w:rPr>
                <w:sz w:val="17"/>
              </w:rPr>
              <w:t xml:space="preserve">Предложения и укрупнённые показатели</w:t>
            </w:r>
          </w:p>
        </w:tc>
        <w:tc>
          <w:tcPr>
            <w:tcW w:w="1300" w:type="dxa"/>
          </w:tcPr>
          <w:p>
            <w:r>
              <w:rPr>
                <w:sz w:val="17"/>
              </w:rPr>
              <w:t xml:space="preserve">по ТКП</w:t>
            </w:r>
          </w:p>
        </w:tc>
      </w:tr>
      <w:tr>
        <w:trPr>
          <w:cantSplit/>
        </w:trPr>
        <w:tc>
          <w:tcPr>
            <w:tcW w:w="2200" w:type="dxa"/>
          </w:tcPr>
          <w:p>
            <w:r>
              <w:rPr>
                <w:sz w:val="17"/>
              </w:rPr>
              <w:t xml:space="preserve">Запасные части</w:t>
            </w:r>
          </w:p>
        </w:tc>
        <w:tc>
          <w:tcPr>
            <w:tcW w:w="4054" w:type="dxa"/>
          </w:tcPr>
          <w:p>
            <w:r>
              <w:rPr>
                <w:sz w:val="17"/>
              </w:rPr>
              <w:t xml:space="preserve">Запасные части на период пусконаладочных работ и на два года эксплуатации</w:t>
            </w:r>
          </w:p>
        </w:tc>
        <w:tc>
          <w:tcPr>
            <w:tcW w:w="1800" w:type="dxa"/>
          </w:tcPr>
          <w:p>
            <w:r>
              <w:rPr>
                <w:sz w:val="17"/>
              </w:rPr>
              <w:t xml:space="preserve">Бюджетные предложения</w:t>
            </w:r>
          </w:p>
        </w:tc>
        <w:tc>
          <w:tcPr>
            <w:tcW w:w="1300" w:type="dxa"/>
          </w:tcPr>
          <w:p>
            <w:r>
              <w:rPr>
                <w:sz w:val="17"/>
              </w:rPr>
              <w:t xml:space="preserve">по ТКП</w:t>
            </w:r>
          </w:p>
        </w:tc>
      </w:tr>
    </w:tbl>
    <w:p>
      <w:pPr>
        <w:pStyle w:val="Heading2"/>
      </w:pPr>
      <w:r>
        <w:rPr>
          <w:b/>
          <w:sz w:val="24"/>
        </w:rPr>
        <w:t xml:space="preserve">6.2 Итоговые строки сводки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3400"/>
        <w:gridCol w:w="5954"/>
      </w:tblGrid>
      <w:tr>
        <w:trPr>
          <w:tblHeader/>
          <w:cantSplit/>
        </w:trPr>
        <w:tc>
          <w:tcPr>
            <w:tcW w:w="3400" w:type="dxa"/>
            <w:shd w:val="clear" w:fill="EFEFEF"/>
          </w:tcPr>
          <w:p>
            <w:r>
              <w:rPr>
                <w:b/>
                <w:sz w:val="15"/>
              </w:rPr>
              <w:t xml:space="preserve">Строка сводки</w:t>
            </w:r>
          </w:p>
        </w:tc>
        <w:tc>
          <w:tcPr>
            <w:tcW w:w="5954" w:type="dxa"/>
            <w:shd w:val="clear" w:fill="EFEFEF"/>
          </w:tcPr>
          <w:p>
            <w:r>
              <w:rPr>
                <w:b/>
                <w:sz w:val="15"/>
              </w:rPr>
              <w:t xml:space="preserve">Порядок определения</w:t>
            </w:r>
          </w:p>
        </w:tc>
      </w:tr>
      <w:tr>
        <w:trPr>
          <w:cantSplit/>
        </w:trPr>
        <w:tc>
          <w:tcPr>
            <w:tcW w:w="3400" w:type="dxa"/>
          </w:tcPr>
          <w:p>
            <w:r>
              <w:rPr>
                <w:sz w:val="17"/>
              </w:rPr>
              <w:t xml:space="preserve">Итого оборудование по бюджетным предложениям</w:t>
            </w:r>
          </w:p>
        </w:tc>
        <w:tc>
          <w:tcPr>
            <w:tcW w:w="5954" w:type="dxa"/>
          </w:tcPr>
          <w:p>
            <w:r>
              <w:rPr>
                <w:sz w:val="17"/>
              </w:rPr>
              <w:t xml:space="preserve">Сумма принятых значений по позициям формы раздела 6.3</w:t>
            </w:r>
          </w:p>
        </w:tc>
      </w:tr>
      <w:tr>
        <w:trPr>
          <w:cantSplit/>
        </w:trPr>
        <w:tc>
          <w:tcPr>
            <w:tcW w:w="3400" w:type="dxa"/>
          </w:tcPr>
          <w:p>
            <w:r>
              <w:rPr>
                <w:sz w:val="17"/>
              </w:rPr>
              <w:t xml:space="preserve">Итого позиции по укрупнённым показателям</w:t>
            </w:r>
          </w:p>
        </w:tc>
        <w:tc>
          <w:tcPr>
            <w:tcW w:w="5954" w:type="dxa"/>
          </w:tcPr>
          <w:p>
            <w:r>
              <w:rPr>
                <w:sz w:val="17"/>
              </w:rPr>
              <w:t xml:space="preserve">Сумма по ценовой базе аналогичных поставок с приведением к дате уровня цен</w:t>
            </w:r>
          </w:p>
        </w:tc>
      </w:tr>
      <w:tr>
        <w:trPr>
          <w:cantSplit/>
        </w:trPr>
        <w:tc>
          <w:tcPr>
            <w:tcW w:w="3400" w:type="dxa"/>
          </w:tcPr>
          <w:p>
            <w:r>
              <w:rPr>
                <w:sz w:val="17"/>
              </w:rPr>
              <w:t xml:space="preserve">Итого материалы</w:t>
            </w:r>
          </w:p>
        </w:tc>
        <w:tc>
          <w:tcPr>
            <w:tcW w:w="5954" w:type="dxa"/>
          </w:tcPr>
          <w:p>
            <w:r>
              <w:rPr>
                <w:sz w:val="17"/>
              </w:rPr>
              <w:t xml:space="preserve">Трубопроводы, металлоконструкции, изоляция и прочие материалы в границах поставки — по объёмам компоновочных решений и перечня трубопроводов</w:t>
            </w:r>
          </w:p>
        </w:tc>
      </w:tr>
      <w:tr>
        <w:trPr>
          <w:cantSplit/>
        </w:trPr>
        <w:tc>
          <w:tcPr>
            <w:tcW w:w="3400" w:type="dxa"/>
          </w:tcPr>
          <w:p>
            <w:r>
              <w:rPr>
                <w:sz w:val="17"/>
              </w:rPr>
              <w:t xml:space="preserve">Логистика, упаковка и таможенные платежи</w:t>
            </w:r>
          </w:p>
        </w:tc>
        <w:tc>
          <w:tcPr>
            <w:tcW w:w="5954" w:type="dxa"/>
          </w:tcPr>
          <w:p>
            <w:r>
              <w:rPr>
                <w:sz w:val="17"/>
              </w:rPr>
              <w:t xml:space="preserve">Разность значений DDP и EXW по позициям с предложениями; по остальным — расчёт по массам и объёмам поставки</w:t>
            </w:r>
          </w:p>
        </w:tc>
      </w:tr>
      <w:tr>
        <w:trPr>
          <w:cantSplit/>
        </w:trPr>
        <w:tc>
          <w:tcPr>
            <w:tcW w:w="3400" w:type="dxa"/>
          </w:tcPr>
          <w:p>
            <w:r>
              <w:rPr>
                <w:sz w:val="17"/>
              </w:rPr>
              <w:t xml:space="preserve">Услуги изготовителей</w:t>
            </w:r>
          </w:p>
        </w:tc>
        <w:tc>
          <w:tcPr>
            <w:tcW w:w="5954" w:type="dxa"/>
          </w:tcPr>
          <w:p>
            <w:r>
              <w:rPr>
                <w:sz w:val="17"/>
              </w:rPr>
              <w:t xml:space="preserve">Шеф-монтаж, пусконаладочные работы, обучение персонала, документация — по данным предложений</w:t>
            </w:r>
          </w:p>
        </w:tc>
      </w:tr>
      <w:tr>
        <w:trPr>
          <w:cantSplit/>
        </w:trPr>
        <w:tc>
          <w:tcPr>
            <w:tcW w:w="3400" w:type="dxa"/>
          </w:tcPr>
          <w:p>
            <w:r>
              <w:rPr>
                <w:sz w:val="17"/>
              </w:rPr>
              <w:t xml:space="preserve">Запасные части</w:t>
            </w:r>
          </w:p>
        </w:tc>
        <w:tc>
          <w:tcPr>
            <w:tcW w:w="5954" w:type="dxa"/>
          </w:tcPr>
          <w:p>
            <w:r>
              <w:rPr>
                <w:sz w:val="17"/>
              </w:rPr>
              <w:t xml:space="preserve">По комплектности предложений и требованию Приложения №5 к Техническому заданию</w:t>
            </w:r>
          </w:p>
        </w:tc>
      </w:tr>
      <w:tr>
        <w:trPr>
          <w:cantSplit/>
        </w:trPr>
        <w:tc>
          <w:tcPr>
            <w:tcW w:w="3400" w:type="dxa"/>
          </w:tcPr>
          <w:p>
            <w:r>
              <w:rPr>
                <w:sz w:val="17"/>
              </w:rPr>
              <w:t xml:space="preserve">Стоимость комплектной поставки лота</w:t>
            </w:r>
          </w:p>
        </w:tc>
        <w:tc>
          <w:tcPr>
            <w:tcW w:w="5954" w:type="dxa"/>
          </w:tcPr>
          <w:p>
            <w:r>
              <w:rPr>
                <w:sz w:val="17"/>
              </w:rPr>
              <w:t xml:space="preserve">Сумма строк выше</w:t>
            </w:r>
          </w:p>
        </w:tc>
      </w:tr>
      <w:tr>
        <w:trPr>
          <w:cantSplit/>
        </w:trPr>
        <w:tc>
          <w:tcPr>
            <w:tcW w:w="3400" w:type="dxa"/>
          </w:tcPr>
          <w:p>
            <w:r>
              <w:rPr>
                <w:sz w:val="17"/>
              </w:rPr>
              <w:t xml:space="preserve">Резерв на неопределённость стадии</w:t>
            </w:r>
          </w:p>
        </w:tc>
        <w:tc>
          <w:tcPr>
            <w:tcW w:w="5954" w:type="dxa"/>
          </w:tcPr>
          <w:p>
            <w:r>
              <w:rPr>
                <w:sz w:val="17"/>
              </w:rPr>
              <w:t xml:space="preserve">По перечню источников неопределённости раздела 2.3; согласовывается с Заказчиком; в цены предложений не входит</w:t>
            </w:r>
          </w:p>
        </w:tc>
      </w:tr>
      <w:tr>
        <w:trPr>
          <w:cantSplit/>
        </w:trPr>
        <w:tc>
          <w:tcPr>
            <w:tcW w:w="3400" w:type="dxa"/>
          </w:tcPr>
          <w:p>
            <w:r>
              <w:rPr>
                <w:sz w:val="17"/>
              </w:rPr>
              <w:t xml:space="preserve">Итого с резервом</w:t>
            </w:r>
          </w:p>
        </w:tc>
        <w:tc>
          <w:tcPr>
            <w:tcW w:w="5954" w:type="dxa"/>
          </w:tcPr>
          <w:p>
            <w:r>
              <w:rPr>
                <w:sz w:val="17"/>
              </w:rPr>
              <w:t xml:space="preserve">Сумма двух строк выше</w:t>
            </w:r>
          </w:p>
        </w:tc>
      </w:tr>
      <w:tr>
        <w:trPr>
          <w:cantSplit/>
        </w:trPr>
        <w:tc>
          <w:tcPr>
            <w:tcW w:w="3400" w:type="dxa"/>
          </w:tcPr>
          <w:p>
            <w:r>
              <w:rPr>
                <w:sz w:val="17"/>
              </w:rPr>
              <w:t xml:space="preserve">Дата уровня цен, валюта сведения и курсы пересчёта</w:t>
            </w:r>
          </w:p>
        </w:tc>
        <w:tc>
          <w:tcPr>
            <w:tcW w:w="5954" w:type="dxa"/>
          </w:tcPr>
          <w:p>
            <w:r>
              <w:rPr>
                <w:sz w:val="17"/>
              </w:rPr>
              <w:t xml:space="preserve">Указываются в заголовке сводки; едины для всех строк</w:t>
            </w:r>
          </w:p>
        </w:tc>
      </w:tr>
    </w:tbl>
    <w:p>
      <w:pPr>
        <w:pStyle w:val="Heading2"/>
      </w:pPr>
      <w:r>
        <w:rPr>
          <w:b/>
          <w:sz w:val="24"/>
        </w:rPr>
        <w:t xml:space="preserve">6.3 Сводка по закупочным позициям</w:t>
      </w:r>
    </w:p>
    <w:p>
      <w:r>
        <w:rPr>
          <w:sz w:val="20"/>
        </w:rPr>
        <w:t xml:space="preserve">Форма заполняется после получения предложений и служит основанием строки «Итого оборудование по бюджетным предложениям» сводки раздела 6.1.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3200"/>
        <w:gridCol w:w="1400"/>
        <w:gridCol w:w="2100"/>
        <w:gridCol w:w="2654"/>
      </w:tblGrid>
      <w:tr>
        <w:trPr>
          <w:tblHeader/>
          <w:cantSplit/>
        </w:trPr>
        <w:tc>
          <w:tcPr>
            <w:tcW w:w="3200" w:type="dxa"/>
            <w:shd w:val="clear" w:fill="EFEFEF"/>
          </w:tcPr>
          <w:p>
            <w:r>
              <w:rPr>
                <w:b/>
                <w:sz w:val="15"/>
              </w:rPr>
              <w:t xml:space="preserve">Закупочная позиция</w:t>
            </w:r>
          </w:p>
        </w:tc>
        <w:tc>
          <w:tcPr>
            <w:tcW w:w="1400" w:type="dxa"/>
            <w:shd w:val="clear" w:fill="EFEFEF"/>
          </w:tcPr>
          <w:p>
            <w:r>
              <w:rPr>
                <w:b/>
                <w:sz w:val="15"/>
              </w:rPr>
              <w:t xml:space="preserve">Получено предложений</w:t>
            </w:r>
          </w:p>
        </w:tc>
        <w:tc>
          <w:tcPr>
            <w:tcW w:w="2100" w:type="dxa"/>
            <w:shd w:val="clear" w:fill="EFEFEF"/>
          </w:tcPr>
          <w:p>
            <w:r>
              <w:rPr>
                <w:b/>
                <w:sz w:val="15"/>
              </w:rPr>
              <w:t xml:space="preserve">Принятое значение стоимости</w:t>
            </w:r>
          </w:p>
        </w:tc>
        <w:tc>
          <w:tcPr>
            <w:tcW w:w="2654" w:type="dxa"/>
            <w:shd w:val="clear" w:fill="EFEFEF"/>
          </w:tcPr>
          <w:p>
            <w:r>
              <w:rPr>
                <w:b/>
                <w:sz w:val="15"/>
              </w:rPr>
              <w:t xml:space="preserve">Базис, валюта, дата уровня цен</w:t>
            </w:r>
          </w:p>
        </w:tc>
      </w:tr>
      <w:tr>
        <w:trPr>
          <w:cantSplit/>
        </w:trPr>
        <w:tc>
          <w:tcPr>
            <w:tcW w:w="3200" w:type="dxa"/>
          </w:tcPr>
          <w:p>
            <w:r>
              <w:rPr>
                <w:sz w:val="15"/>
              </w:rPr>
              <w:t xml:space="preserve">Печь кипящего слоя 10–16 т/ч, кислородное дутьё</w:t>
            </w:r>
          </w:p>
        </w:tc>
        <w:tc>
          <w:tcPr>
            <w:tcW w:w="1400" w:type="dxa"/>
          </w:tcPr>
          <w:p>
            <w:r>
              <w:rPr>
                <w:sz w:val="15"/>
              </w:rPr>
              <w:t xml:space="preserve"/>
            </w:r>
          </w:p>
        </w:tc>
        <w:tc>
          <w:tcPr>
            <w:tcW w:w="2100" w:type="dxa"/>
          </w:tcPr>
          <w:p>
            <w:r>
              <w:rPr>
                <w:sz w:val="15"/>
              </w:rPr>
              <w:t xml:space="preserve">по ТКП</w:t>
            </w:r>
          </w:p>
        </w:tc>
        <w:tc>
          <w:tcPr>
            <w:tcW w:w="2654" w:type="dxa"/>
          </w:tcPr>
          <w:p>
            <w:r>
              <w:rPr>
                <w:sz w:val="15"/>
              </w:rPr>
              <w:t xml:space="preserve">по ТКП</w:t>
            </w:r>
          </w:p>
        </w:tc>
      </w:tr>
      <w:tr>
        <w:trPr>
          <w:cantSplit/>
        </w:trPr>
        <w:tc>
          <w:tcPr>
            <w:tcW w:w="3200" w:type="dxa"/>
          </w:tcPr>
          <w:p>
            <w:r>
              <w:rPr>
                <w:sz w:val="15"/>
              </w:rPr>
              <w:t xml:space="preserve">Котёл-утилизатор до 30 000 нм³/ч, пар 1,9 МПа / 375 °С</w:t>
            </w:r>
          </w:p>
        </w:tc>
        <w:tc>
          <w:tcPr>
            <w:tcW w:w="1400" w:type="dxa"/>
          </w:tcPr>
          <w:p>
            <w:r>
              <w:rPr>
                <w:sz w:val="15"/>
              </w:rPr>
              <w:t xml:space="preserve"/>
            </w:r>
          </w:p>
        </w:tc>
        <w:tc>
          <w:tcPr>
            <w:tcW w:w="2100" w:type="dxa"/>
          </w:tcPr>
          <w:p>
            <w:r>
              <w:rPr>
                <w:sz w:val="15"/>
              </w:rPr>
              <w:t xml:space="preserve">по ТКП</w:t>
            </w:r>
          </w:p>
        </w:tc>
        <w:tc>
          <w:tcPr>
            <w:tcW w:w="2654" w:type="dxa"/>
          </w:tcPr>
          <w:p>
            <w:r>
              <w:rPr>
                <w:sz w:val="15"/>
              </w:rPr>
              <w:t xml:space="preserve">по ТКП</w:t>
            </w:r>
          </w:p>
        </w:tc>
      </w:tr>
      <w:tr>
        <w:trPr>
          <w:cantSplit/>
        </w:trPr>
        <w:tc>
          <w:tcPr>
            <w:tcW w:w="3200" w:type="dxa"/>
          </w:tcPr>
          <w:p>
            <w:r>
              <w:rPr>
                <w:sz w:val="15"/>
              </w:rPr>
              <w:t xml:space="preserve">Сухой электрофильтр до 57 600 м³/ч, 2 шт.</w:t>
            </w:r>
          </w:p>
        </w:tc>
        <w:tc>
          <w:tcPr>
            <w:tcW w:w="1400" w:type="dxa"/>
          </w:tcPr>
          <w:p>
            <w:r>
              <w:rPr>
                <w:sz w:val="15"/>
              </w:rPr>
              <w:t xml:space="preserve"/>
            </w:r>
          </w:p>
        </w:tc>
        <w:tc>
          <w:tcPr>
            <w:tcW w:w="2100" w:type="dxa"/>
          </w:tcPr>
          <w:p>
            <w:r>
              <w:rPr>
                <w:sz w:val="15"/>
              </w:rPr>
              <w:t xml:space="preserve">по ТКП</w:t>
            </w:r>
          </w:p>
        </w:tc>
        <w:tc>
          <w:tcPr>
            <w:tcW w:w="2654" w:type="dxa"/>
          </w:tcPr>
          <w:p>
            <w:r>
              <w:rPr>
                <w:sz w:val="15"/>
              </w:rPr>
              <w:t xml:space="preserve">по ТКП</w:t>
            </w:r>
          </w:p>
        </w:tc>
      </w:tr>
      <w:tr>
        <w:trPr>
          <w:cantSplit/>
        </w:trPr>
        <w:tc>
          <w:tcPr>
            <w:tcW w:w="3200" w:type="dxa"/>
          </w:tcPr>
          <w:p>
            <w:r>
              <w:rPr>
                <w:sz w:val="15"/>
              </w:rPr>
              <w:t xml:space="preserve">Одиночный циклон до 32 000 м³/ч</w:t>
            </w:r>
          </w:p>
        </w:tc>
        <w:tc>
          <w:tcPr>
            <w:tcW w:w="1400" w:type="dxa"/>
          </w:tcPr>
          <w:p>
            <w:r>
              <w:rPr>
                <w:sz w:val="15"/>
              </w:rPr>
              <w:t xml:space="preserve"/>
            </w:r>
          </w:p>
        </w:tc>
        <w:tc>
          <w:tcPr>
            <w:tcW w:w="2100" w:type="dxa"/>
          </w:tcPr>
          <w:p>
            <w:r>
              <w:rPr>
                <w:sz w:val="15"/>
              </w:rPr>
              <w:t xml:space="preserve">по ТКП</w:t>
            </w:r>
          </w:p>
        </w:tc>
        <w:tc>
          <w:tcPr>
            <w:tcW w:w="2654" w:type="dxa"/>
          </w:tcPr>
          <w:p>
            <w:r>
              <w:rPr>
                <w:sz w:val="15"/>
              </w:rPr>
              <w:t xml:space="preserve">по ТКП</w:t>
            </w:r>
          </w:p>
        </w:tc>
      </w:tr>
      <w:tr>
        <w:trPr>
          <w:cantSplit/>
        </w:trPr>
        <w:tc>
          <w:tcPr>
            <w:tcW w:w="3200" w:type="dxa"/>
          </w:tcPr>
          <w:p>
            <w:r>
              <w:rPr>
                <w:sz w:val="15"/>
              </w:rPr>
              <w:t xml:space="preserve">Дымососы до 78 000 м³/ч, 400 кВт / 6 кВ, 2 шт.</w:t>
            </w:r>
          </w:p>
        </w:tc>
        <w:tc>
          <w:tcPr>
            <w:tcW w:w="1400" w:type="dxa"/>
          </w:tcPr>
          <w:p>
            <w:r>
              <w:rPr>
                <w:sz w:val="15"/>
              </w:rPr>
              <w:t xml:space="preserve"/>
            </w:r>
          </w:p>
        </w:tc>
        <w:tc>
          <w:tcPr>
            <w:tcW w:w="2100" w:type="dxa"/>
          </w:tcPr>
          <w:p>
            <w:r>
              <w:rPr>
                <w:sz w:val="15"/>
              </w:rPr>
              <w:t xml:space="preserve">по ТКП</w:t>
            </w:r>
          </w:p>
        </w:tc>
        <w:tc>
          <w:tcPr>
            <w:tcW w:w="2654" w:type="dxa"/>
          </w:tcPr>
          <w:p>
            <w:r>
              <w:rPr>
                <w:sz w:val="15"/>
              </w:rPr>
              <w:t xml:space="preserve">по ТКП</w:t>
            </w:r>
          </w:p>
        </w:tc>
      </w:tr>
      <w:tr>
        <w:trPr>
          <w:cantSplit/>
        </w:trPr>
        <w:tc>
          <w:tcPr>
            <w:tcW w:w="3200" w:type="dxa"/>
          </w:tcPr>
          <w:p>
            <w:r>
              <w:rPr>
                <w:sz w:val="15"/>
              </w:rPr>
              <w:t xml:space="preserve">Рукавные фильтры аспирации с дымососами на свечу</w:t>
            </w:r>
          </w:p>
        </w:tc>
        <w:tc>
          <w:tcPr>
            <w:tcW w:w="1400" w:type="dxa"/>
          </w:tcPr>
          <w:p>
            <w:r>
              <w:rPr>
                <w:sz w:val="15"/>
              </w:rPr>
              <w:t xml:space="preserve"/>
            </w:r>
          </w:p>
        </w:tc>
        <w:tc>
          <w:tcPr>
            <w:tcW w:w="2100" w:type="dxa"/>
          </w:tcPr>
          <w:p>
            <w:r>
              <w:rPr>
                <w:sz w:val="15"/>
              </w:rPr>
              <w:t xml:space="preserve">по ТКП</w:t>
            </w:r>
          </w:p>
        </w:tc>
        <w:tc>
          <w:tcPr>
            <w:tcW w:w="2654" w:type="dxa"/>
          </w:tcPr>
          <w:p>
            <w:r>
              <w:rPr>
                <w:sz w:val="15"/>
              </w:rPr>
              <w:t xml:space="preserve">по ТКП</w:t>
            </w:r>
          </w:p>
        </w:tc>
      </w:tr>
      <w:tr>
        <w:trPr>
          <w:cantSplit/>
        </w:trPr>
        <w:tc>
          <w:tcPr>
            <w:tcW w:w="3200" w:type="dxa"/>
          </w:tcPr>
          <w:p>
            <w:r>
              <w:rPr>
                <w:sz w:val="15"/>
              </w:rPr>
              <w:t xml:space="preserve">Барабанные вакуум-фильтры пульпы медного концентрата</w:t>
            </w:r>
          </w:p>
        </w:tc>
        <w:tc>
          <w:tcPr>
            <w:tcW w:w="1400" w:type="dxa"/>
          </w:tcPr>
          <w:p>
            <w:r>
              <w:rPr>
                <w:sz w:val="15"/>
              </w:rPr>
              <w:t xml:space="preserve"/>
            </w:r>
          </w:p>
        </w:tc>
        <w:tc>
          <w:tcPr>
            <w:tcW w:w="2100" w:type="dxa"/>
          </w:tcPr>
          <w:p>
            <w:r>
              <w:rPr>
                <w:sz w:val="15"/>
              </w:rPr>
              <w:t xml:space="preserve">по ТКП</w:t>
            </w:r>
          </w:p>
        </w:tc>
        <w:tc>
          <w:tcPr>
            <w:tcW w:w="2654" w:type="dxa"/>
          </w:tcPr>
          <w:p>
            <w:r>
              <w:rPr>
                <w:sz w:val="15"/>
              </w:rPr>
              <w:t xml:space="preserve">по ТКП</w:t>
            </w:r>
          </w:p>
        </w:tc>
      </w:tr>
      <w:tr>
        <w:trPr>
          <w:cantSplit/>
        </w:trPr>
        <w:tc>
          <w:tcPr>
            <w:tcW w:w="3200" w:type="dxa"/>
          </w:tcPr>
          <w:p>
            <w:r>
              <w:rPr>
                <w:sz w:val="15"/>
              </w:rPr>
              <w:t xml:space="preserve">Оборудование шихтоподготовки: питатели, весовые дозаторы, смеситель, ленточные конвейеры</w:t>
            </w:r>
          </w:p>
        </w:tc>
        <w:tc>
          <w:tcPr>
            <w:tcW w:w="1400" w:type="dxa"/>
          </w:tcPr>
          <w:p>
            <w:r>
              <w:rPr>
                <w:sz w:val="15"/>
              </w:rPr>
              <w:t xml:space="preserve"/>
            </w:r>
          </w:p>
        </w:tc>
        <w:tc>
          <w:tcPr>
            <w:tcW w:w="2100" w:type="dxa"/>
          </w:tcPr>
          <w:p>
            <w:r>
              <w:rPr>
                <w:sz w:val="15"/>
              </w:rPr>
              <w:t xml:space="preserve">по ТКП</w:t>
            </w:r>
          </w:p>
        </w:tc>
        <w:tc>
          <w:tcPr>
            <w:tcW w:w="2654" w:type="dxa"/>
          </w:tcPr>
          <w:p>
            <w:r>
              <w:rPr>
                <w:sz w:val="15"/>
              </w:rPr>
              <w:t xml:space="preserve">по ТКП</w:t>
            </w:r>
          </w:p>
        </w:tc>
      </w:tr>
      <w:tr>
        <w:trPr>
          <w:cantSplit/>
        </w:trPr>
        <w:tc>
          <w:tcPr>
            <w:tcW w:w="3200" w:type="dxa"/>
          </w:tcPr>
          <w:p>
            <w:r>
              <w:rPr>
                <w:sz w:val="15"/>
              </w:rPr>
              <w:t xml:space="preserve">Мазутные горелки ГМ-4,5 и МГМГ-10</w:t>
            </w:r>
          </w:p>
        </w:tc>
        <w:tc>
          <w:tcPr>
            <w:tcW w:w="1400" w:type="dxa"/>
          </w:tcPr>
          <w:p>
            <w:r>
              <w:rPr>
                <w:sz w:val="15"/>
              </w:rPr>
              <w:t xml:space="preserve"/>
            </w:r>
          </w:p>
        </w:tc>
        <w:tc>
          <w:tcPr>
            <w:tcW w:w="2100" w:type="dxa"/>
          </w:tcPr>
          <w:p>
            <w:r>
              <w:rPr>
                <w:sz w:val="15"/>
              </w:rPr>
              <w:t xml:space="preserve">по ТКП</w:t>
            </w:r>
          </w:p>
        </w:tc>
        <w:tc>
          <w:tcPr>
            <w:tcW w:w="2654" w:type="dxa"/>
          </w:tcPr>
          <w:p>
            <w:r>
              <w:rPr>
                <w:sz w:val="15"/>
              </w:rPr>
              <w:t xml:space="preserve">по ТКП</w:t>
            </w:r>
          </w:p>
        </w:tc>
      </w:tr>
      <w:tr>
        <w:trPr>
          <w:cantSplit/>
        </w:trPr>
        <w:tc>
          <w:tcPr>
            <w:tcW w:w="3200" w:type="dxa"/>
          </w:tcPr>
          <w:p>
            <w:r>
              <w:rPr>
                <w:sz w:val="15"/>
              </w:rPr>
              <w:t xml:space="preserve">Программируемые логические контроллеры и система диспетчерского управления</w:t>
            </w:r>
          </w:p>
        </w:tc>
        <w:tc>
          <w:tcPr>
            <w:tcW w:w="1400" w:type="dxa"/>
          </w:tcPr>
          <w:p>
            <w:r>
              <w:rPr>
                <w:sz w:val="15"/>
              </w:rPr>
              <w:t xml:space="preserve"/>
            </w:r>
          </w:p>
        </w:tc>
        <w:tc>
          <w:tcPr>
            <w:tcW w:w="2100" w:type="dxa"/>
          </w:tcPr>
          <w:p>
            <w:r>
              <w:rPr>
                <w:sz w:val="15"/>
              </w:rPr>
              <w:t xml:space="preserve">по ТКП</w:t>
            </w:r>
          </w:p>
        </w:tc>
        <w:tc>
          <w:tcPr>
            <w:tcW w:w="2654" w:type="dxa"/>
          </w:tcPr>
          <w:p>
            <w:r>
              <w:rPr>
                <w:sz w:val="15"/>
              </w:rPr>
              <w:t xml:space="preserve">по ТКП</w:t>
            </w:r>
          </w:p>
        </w:tc>
      </w:tr>
      <w:tr>
        <w:trPr>
          <w:cantSplit/>
        </w:trPr>
        <w:tc>
          <w:tcPr>
            <w:tcW w:w="3200" w:type="dxa"/>
          </w:tcPr>
          <w:p>
            <w:r>
              <w:rPr>
                <w:sz w:val="15"/>
              </w:rPr>
              <w:t xml:space="preserve">Приборы контроля: давление, расход, уровень, температура, плотность, газовый состав</w:t>
            </w:r>
          </w:p>
        </w:tc>
        <w:tc>
          <w:tcPr>
            <w:tcW w:w="1400" w:type="dxa"/>
          </w:tcPr>
          <w:p>
            <w:r>
              <w:rPr>
                <w:sz w:val="15"/>
              </w:rPr>
              <w:t xml:space="preserve"/>
            </w:r>
          </w:p>
        </w:tc>
        <w:tc>
          <w:tcPr>
            <w:tcW w:w="2100" w:type="dxa"/>
          </w:tcPr>
          <w:p>
            <w:r>
              <w:rPr>
                <w:sz w:val="15"/>
              </w:rPr>
              <w:t xml:space="preserve">по ТКП</w:t>
            </w:r>
          </w:p>
        </w:tc>
        <w:tc>
          <w:tcPr>
            <w:tcW w:w="2654" w:type="dxa"/>
          </w:tcPr>
          <w:p>
            <w:r>
              <w:rPr>
                <w:sz w:val="15"/>
              </w:rPr>
              <w:t xml:space="preserve">по ТКП</w:t>
            </w:r>
          </w:p>
        </w:tc>
      </w:tr>
      <w:tr>
        <w:trPr>
          <w:cantSplit/>
        </w:trPr>
        <w:tc>
          <w:tcPr>
            <w:tcW w:w="3200" w:type="dxa"/>
          </w:tcPr>
          <w:p>
            <w:r>
              <w:rPr>
                <w:sz w:val="15"/>
              </w:rPr>
              <w:t xml:space="preserve">Шнековые холодильники огарка и пылей</w:t>
            </w:r>
          </w:p>
        </w:tc>
        <w:tc>
          <w:tcPr>
            <w:tcW w:w="1400" w:type="dxa"/>
          </w:tcPr>
          <w:p>
            <w:r>
              <w:rPr>
                <w:sz w:val="15"/>
              </w:rPr>
              <w:t xml:space="preserve"/>
            </w:r>
          </w:p>
        </w:tc>
        <w:tc>
          <w:tcPr>
            <w:tcW w:w="2100" w:type="dxa"/>
          </w:tcPr>
          <w:p>
            <w:r>
              <w:rPr>
                <w:sz w:val="15"/>
              </w:rPr>
              <w:t xml:space="preserve">по ТКП</w:t>
            </w:r>
          </w:p>
        </w:tc>
        <w:tc>
          <w:tcPr>
            <w:tcW w:w="2654" w:type="dxa"/>
          </w:tcPr>
          <w:p>
            <w:r>
              <w:rPr>
                <w:sz w:val="15"/>
              </w:rPr>
              <w:t xml:space="preserve">по ТКП</w:t>
            </w:r>
          </w:p>
        </w:tc>
      </w:tr>
      <w:tr>
        <w:trPr>
          <w:cantSplit/>
        </w:trPr>
        <w:tc>
          <w:tcPr>
            <w:tcW w:w="3200" w:type="dxa"/>
          </w:tcPr>
          <w:p>
            <w:r>
              <w:rPr>
                <w:sz w:val="15"/>
              </w:rPr>
              <w:t xml:space="preserve">Силосы огарка и тонкой пыли с узлом налива автотранспорта</w:t>
            </w:r>
          </w:p>
        </w:tc>
        <w:tc>
          <w:tcPr>
            <w:tcW w:w="1400" w:type="dxa"/>
          </w:tcPr>
          <w:p>
            <w:r>
              <w:rPr>
                <w:sz w:val="15"/>
              </w:rPr>
              <w:t xml:space="preserve"/>
            </w:r>
          </w:p>
        </w:tc>
        <w:tc>
          <w:tcPr>
            <w:tcW w:w="2100" w:type="dxa"/>
          </w:tcPr>
          <w:p>
            <w:r>
              <w:rPr>
                <w:sz w:val="15"/>
              </w:rPr>
              <w:t xml:space="preserve">по ТКП</w:t>
            </w:r>
          </w:p>
        </w:tc>
        <w:tc>
          <w:tcPr>
            <w:tcW w:w="2654" w:type="dxa"/>
          </w:tcPr>
          <w:p>
            <w:r>
              <w:rPr>
                <w:sz w:val="15"/>
              </w:rPr>
              <w:t xml:space="preserve">по ТКП</w:t>
            </w:r>
          </w:p>
        </w:tc>
      </w:tr>
      <w:tr>
        <w:trPr>
          <w:cantSplit/>
        </w:trPr>
        <w:tc>
          <w:tcPr>
            <w:tcW w:w="3200" w:type="dxa"/>
          </w:tcPr>
          <w:p>
            <w:r>
              <w:rPr>
                <w:sz w:val="15"/>
              </w:rPr>
              <w:t xml:space="preserve">Станция растаривания мягких контейнеров</w:t>
            </w:r>
          </w:p>
        </w:tc>
        <w:tc>
          <w:tcPr>
            <w:tcW w:w="1400" w:type="dxa"/>
          </w:tcPr>
          <w:p>
            <w:r>
              <w:rPr>
                <w:sz w:val="15"/>
              </w:rPr>
              <w:t xml:space="preserve"/>
            </w:r>
          </w:p>
        </w:tc>
        <w:tc>
          <w:tcPr>
            <w:tcW w:w="2100" w:type="dxa"/>
          </w:tcPr>
          <w:p>
            <w:r>
              <w:rPr>
                <w:sz w:val="15"/>
              </w:rPr>
              <w:t xml:space="preserve">по ТКП</w:t>
            </w:r>
          </w:p>
        </w:tc>
        <w:tc>
          <w:tcPr>
            <w:tcW w:w="2654" w:type="dxa"/>
          </w:tcPr>
          <w:p>
            <w:r>
              <w:rPr>
                <w:sz w:val="15"/>
              </w:rPr>
              <w:t xml:space="preserve">по ТКП</w:t>
            </w:r>
          </w:p>
        </w:tc>
      </w:tr>
    </w:tbl>
    <w:p>
      <w:pPr>
        <w:pStyle w:val="Heading2"/>
      </w:pPr>
      <w:r>
        <w:rPr>
          <w:b/>
          <w:sz w:val="24"/>
        </w:rPr>
        <w:t xml:space="preserve">6.4 Порядок заполнения и представления</w:t>
      </w:r>
    </w:p>
    <w:p>
      <w:r>
        <w:rPr>
          <w:sz w:val="20"/>
        </w:rPr>
        <w:t xml:space="preserve">Сводка стоимости выпускается отдельным документом ревизии после получения предложений изготовителей. В настоящей ревизии приводятся только формы: включение в документ предварительных ценовых значений, не подтверждённых предложениями, не допускается — такие значения не соответствуют объявленному классу точности оценки и вводят в заблуждение при бюджетировании.</w:t>
      </w:r>
    </w:p>
    <w:p>
      <w:r>
        <w:rPr>
          <w:sz w:val="20"/>
        </w:rPr>
        <w:t xml:space="preserve">К сводке прилагаются: перечень адресатов запросов с датами отправки и получения ответов; копии предложений, принятых к оценке; обоснования по позициям, где число сопоставимых предложений меньше трёх; расчёт логистической составляющей; ведомость укрупнённых показателей с указанием источников ценовой базы и даты уровня цен.</w:t>
      </w:r>
    </w:p>
    <w:p>
      <w:pPr>
        <w:pStyle w:val="Heading1"/>
      </w:pPr>
      <w:r>
        <w:rPr>
          <w:b/>
          <w:sz w:val="28"/>
        </w:rPr>
        <w:t xml:space="preserve">7. Сроки стоимостного блока</w:t>
      </w:r>
    </w:p>
    <w:p>
      <w:pPr>
        <w:pStyle w:val="Heading2"/>
      </w:pPr>
      <w:r>
        <w:rPr>
          <w:b/>
          <w:sz w:val="24"/>
        </w:rPr>
        <w:t xml:space="preserve">7.1 Последовательность и сроки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3200"/>
        <w:gridCol w:w="1900"/>
        <w:gridCol w:w="4254"/>
      </w:tblGrid>
      <w:tr>
        <w:trPr>
          <w:tblHeader/>
          <w:cantSplit/>
        </w:trPr>
        <w:tc>
          <w:tcPr>
            <w:tcW w:w="3200" w:type="dxa"/>
            <w:shd w:val="clear" w:fill="EFEFEF"/>
          </w:tcPr>
          <w:p>
            <w:r>
              <w:rPr>
                <w:b/>
                <w:sz w:val="15"/>
              </w:rPr>
              <w:t xml:space="preserve">Шаг</w:t>
            </w:r>
          </w:p>
        </w:tc>
        <w:tc>
          <w:tcPr>
            <w:tcW w:w="1900" w:type="dxa"/>
            <w:shd w:val="clear" w:fill="EFEFEF"/>
          </w:tcPr>
          <w:p>
            <w:r>
              <w:rPr>
                <w:b/>
                <w:sz w:val="15"/>
              </w:rPr>
              <w:t xml:space="preserve">Срок</w:t>
            </w:r>
          </w:p>
        </w:tc>
        <w:tc>
          <w:tcPr>
            <w:tcW w:w="4254" w:type="dxa"/>
            <w:shd w:val="clear" w:fill="EFEFEF"/>
          </w:tcPr>
          <w:p>
            <w:r>
              <w:rPr>
                <w:b/>
                <w:sz w:val="15"/>
              </w:rPr>
              <w:t xml:space="preserve">Условие</w:t>
            </w:r>
          </w:p>
        </w:tc>
      </w:tr>
      <w:tr>
        <w:trPr>
          <w:cantSplit/>
        </w:trPr>
        <w:tc>
          <w:tcPr>
            <w:tcW w:w="3200" w:type="dxa"/>
          </w:tcPr>
          <w:p>
            <w:r>
              <w:rPr>
                <w:sz w:val="17"/>
              </w:rPr>
              <w:t xml:space="preserve">Согласование перечня основного оборудования, выносимого на бюджетные предложения</w:t>
            </w:r>
          </w:p>
        </w:tc>
        <w:tc>
          <w:tcPr>
            <w:tcW w:w="1900" w:type="dxa"/>
          </w:tcPr>
          <w:p>
            <w:r>
              <w:rPr>
                <w:sz w:val="17"/>
              </w:rPr>
              <w:t xml:space="preserve">До рассылки запросов</w:t>
            </w:r>
          </w:p>
        </w:tc>
        <w:tc>
          <w:tcPr>
            <w:tcW w:w="4254" w:type="dxa"/>
          </w:tcPr>
          <w:p>
            <w:r>
              <w:rPr>
                <w:sz w:val="17"/>
              </w:rPr>
              <w:t xml:space="preserve">Протокол с Заказчиком; перечень закрывает ориентировочно 70–80 % стоимости поставки лота</w:t>
            </w:r>
          </w:p>
        </w:tc>
      </w:tr>
      <w:tr>
        <w:trPr>
          <w:cantSplit/>
        </w:trPr>
        <w:tc>
          <w:tcPr>
            <w:tcW w:w="3200" w:type="dxa"/>
          </w:tcPr>
          <w:p>
            <w:r>
              <w:rPr>
                <w:sz w:val="17"/>
              </w:rPr>
              <w:t xml:space="preserve">Согласование перечня адресатов запросов</w:t>
            </w:r>
          </w:p>
        </w:tc>
        <w:tc>
          <w:tcPr>
            <w:tcW w:w="1900" w:type="dxa"/>
          </w:tcPr>
          <w:p>
            <w:r>
              <w:rPr>
                <w:sz w:val="17"/>
              </w:rPr>
              <w:t xml:space="preserve">До рассылки запросов</w:t>
            </w:r>
          </w:p>
        </w:tc>
        <w:tc>
          <w:tcPr>
            <w:tcW w:w="4254" w:type="dxa"/>
          </w:tcPr>
          <w:p>
            <w:r>
              <w:rPr>
                <w:sz w:val="17"/>
              </w:rPr>
              <w:t xml:space="preserve">Комплекты запросов подготовлены; рассылка выполняется по решению Заказчика</w:t>
            </w:r>
          </w:p>
        </w:tc>
      </w:tr>
      <w:tr>
        <w:trPr>
          <w:cantSplit/>
        </w:trPr>
        <w:tc>
          <w:tcPr>
            <w:tcW w:w="3200" w:type="dxa"/>
          </w:tcPr>
          <w:p>
            <w:r>
              <w:rPr>
                <w:sz w:val="17"/>
              </w:rPr>
              <w:t xml:space="preserve">Рассылка запросов и подтверждение получения</w:t>
            </w:r>
          </w:p>
        </w:tc>
        <w:tc>
          <w:tcPr>
            <w:tcW w:w="1900" w:type="dxa"/>
          </w:tcPr>
          <w:p>
            <w:r>
              <w:rPr>
                <w:sz w:val="17"/>
              </w:rPr>
              <w:t xml:space="preserve">По решению Заказчика</w:t>
            </w:r>
          </w:p>
        </w:tc>
        <w:tc>
          <w:tcPr>
            <w:tcW w:w="4254" w:type="dxa"/>
          </w:tcPr>
          <w:p>
            <w:r>
              <w:rPr>
                <w:sz w:val="17"/>
              </w:rPr>
              <w:t xml:space="preserve">Запрос носит бюджетный характер и не является офертой</w:t>
            </w:r>
          </w:p>
        </w:tc>
      </w:tr>
      <w:tr>
        <w:trPr>
          <w:cantSplit/>
        </w:trPr>
        <w:tc>
          <w:tcPr>
            <w:tcW w:w="3200" w:type="dxa"/>
          </w:tcPr>
          <w:p>
            <w:r>
              <w:rPr>
                <w:sz w:val="17"/>
              </w:rPr>
              <w:t xml:space="preserve">Срок представления предложения изготовителем</w:t>
            </w:r>
          </w:p>
        </w:tc>
        <w:tc>
          <w:tcPr>
            <w:tcW w:w="1900" w:type="dxa"/>
          </w:tcPr>
          <w:p>
            <w:r>
              <w:rPr>
                <w:sz w:val="17"/>
              </w:rPr>
              <w:t xml:space="preserve">3 недели с даты получения запроса</w:t>
            </w:r>
          </w:p>
        </w:tc>
        <w:tc>
          <w:tcPr>
            <w:tcW w:w="4254" w:type="dxa"/>
          </w:tcPr>
          <w:p>
            <w:r>
              <w:rPr>
                <w:sz w:val="17"/>
              </w:rPr>
              <w:t xml:space="preserve">Срок установлен формой запроса; продление фиксируется перепиской</w:t>
            </w:r>
          </w:p>
        </w:tc>
      </w:tr>
      <w:tr>
        <w:trPr>
          <w:cantSplit/>
        </w:trPr>
        <w:tc>
          <w:tcPr>
            <w:tcW w:w="3200" w:type="dxa"/>
          </w:tcPr>
          <w:p>
            <w:r>
              <w:rPr>
                <w:sz w:val="17"/>
              </w:rPr>
              <w:t xml:space="preserve">Уточняющая переписка и приведение предложений к единому базису</w:t>
            </w:r>
          </w:p>
        </w:tc>
        <w:tc>
          <w:tcPr>
            <w:tcW w:w="1900" w:type="dxa"/>
          </w:tcPr>
          <w:p>
            <w:r>
              <w:rPr>
                <w:sz w:val="17"/>
              </w:rPr>
              <w:t xml:space="preserve">После получения предложений</w:t>
            </w:r>
          </w:p>
        </w:tc>
        <w:tc>
          <w:tcPr>
            <w:tcW w:w="4254" w:type="dxa"/>
          </w:tcPr>
          <w:p>
            <w:r>
              <w:rPr>
                <w:sz w:val="17"/>
              </w:rPr>
              <w:t xml:space="preserve">Срок определяется числом позиций и полнотой представленных данных</w:t>
            </w:r>
          </w:p>
        </w:tc>
      </w:tr>
      <w:tr>
        <w:trPr>
          <w:cantSplit/>
        </w:trPr>
        <w:tc>
          <w:tcPr>
            <w:tcW w:w="3200" w:type="dxa"/>
          </w:tcPr>
          <w:p>
            <w:r>
              <w:rPr>
                <w:sz w:val="17"/>
              </w:rPr>
              <w:t xml:space="preserve">Предварительная оценка по укрупнённым показателям</w:t>
            </w:r>
          </w:p>
        </w:tc>
        <w:tc>
          <w:tcPr>
            <w:tcW w:w="1900" w:type="dxa"/>
          </w:tcPr>
          <w:p>
            <w:r>
              <w:rPr>
                <w:sz w:val="17"/>
              </w:rPr>
              <w:t xml:space="preserve">Этап 1 (3 месяца)</w:t>
            </w:r>
          </w:p>
        </w:tc>
        <w:tc>
          <w:tcPr>
            <w:tcW w:w="4254" w:type="dxa"/>
          </w:tcPr>
          <w:p>
            <w:r>
              <w:rPr>
                <w:sz w:val="17"/>
              </w:rPr>
              <w:t xml:space="preserve">Предложение Исполнителя по распределению стоимостного блока по этапам</w:t>
            </w:r>
          </w:p>
        </w:tc>
      </w:tr>
      <w:tr>
        <w:trPr>
          <w:cantSplit/>
        </w:trPr>
        <w:tc>
          <w:tcPr>
            <w:tcW w:w="3200" w:type="dxa"/>
          </w:tcPr>
          <w:p>
            <w:r>
              <w:rPr>
                <w:sz w:val="17"/>
              </w:rPr>
              <w:t xml:space="preserve">Бюджетные предложения по основному оборудованию и итоговая бюджетная оценка</w:t>
            </w:r>
          </w:p>
        </w:tc>
        <w:tc>
          <w:tcPr>
            <w:tcW w:w="1900" w:type="dxa"/>
          </w:tcPr>
          <w:p>
            <w:r>
              <w:rPr>
                <w:sz w:val="17"/>
              </w:rPr>
              <w:t xml:space="preserve">Этап 2 (суммарно не более 6 месяцев)</w:t>
            </w:r>
          </w:p>
        </w:tc>
        <w:tc>
          <w:tcPr>
            <w:tcW w:w="4254" w:type="dxa"/>
          </w:tcPr>
          <w:p>
            <w:r>
              <w:rPr>
                <w:sz w:val="17"/>
              </w:rPr>
              <w:t xml:space="preserve">Предложение Исполнителя; в проекте этапности Заказчика стоимостной блок не назван</w:t>
            </w:r>
          </w:p>
        </w:tc>
      </w:tr>
    </w:tbl>
    <w:p>
      <w:pPr>
        <w:pStyle w:val="Heading2"/>
      </w:pPr>
      <w:r>
        <w:rPr>
          <w:b/>
          <w:sz w:val="24"/>
        </w:rPr>
        <w:t xml:space="preserve">7.2 Увязка с этапностью выпуска Базового инжиниринга</w:t>
      </w:r>
    </w:p>
    <w:p>
      <w:r>
        <w:rPr>
          <w:sz w:val="20"/>
        </w:rPr>
        <w:t xml:space="preserve">Материалы Базового инжиниринга выдаются поэтапно — для начала разработки основных технических решений до завершения полного выпуска. Проект этапности передан Заказчиком 25.08.2026 вне официальной редакции Технического задания: Этап 1 — предварительный отчёт продолжительностью 3 месяца, Этап 2 — итоговый отчёт. Исполнитель предлагает зафиксировать срок Этапа 2 равным 3 месяцам, а общий срок выпуска — не более 6 месяцев.</w:t>
      </w:r>
    </w:p>
    <w:p>
      <w:r>
        <w:rPr>
          <w:sz w:val="20"/>
        </w:rPr>
        <w:t xml:space="preserve">Стоимостной блок в проекте этапности не назван. Предложение Исполнителя: предварительная оценка стоимости поставки по укрупнённым показателям выпускается в составе Этапа 1, бюджетные предложения по основному оборудованию и итоговая бюджетная оценка комплектной поставки — в составе Этапа 2. Такое распределение даёт Заказчику ориентировочную величину капитальных затрат уже через 3 месяца, не задерживая выпуск технической части.</w:t>
      </w:r>
    </w:p>
    <w:p>
      <w:r>
        <w:rPr>
          <w:color w:val="555555"/>
          <w:sz w:val="18"/>
        </w:rPr>
        <w:t xml:space="preserve">Юридический статус этапности подлежит закреплению в Техническом задании или договоре: проект этапности передан вне официальной редакции Технического задания.</w:t>
      </w:r>
    </w:p>
    <w:p>
      <w:pPr>
        <w:pStyle w:val="Heading2"/>
      </w:pPr>
      <w:r>
        <w:rPr>
          <w:b/>
          <w:sz w:val="24"/>
        </w:rPr>
        <w:t xml:space="preserve">7.3 Первоочередная контрактация</w:t>
      </w:r>
    </w:p>
    <w:p>
      <w:r>
        <w:rPr>
          <w:sz w:val="20"/>
        </w:rPr>
        <w:t xml:space="preserve">Первыми на запрос предложений выносятся позиции длительного цикла изготовления: печь кипящего слоя, котёл-утилизатор, сухие электрофильтры. По ним предложения нужны не только для оценки стоимости, но и для подтверждения сроков изготовления: эти сроки определяют критический путь проекта и дату готовности комплекса. Исходные требования на оборудование длительного цикла изготовления выпускаются в первой очереди этапной выдачи Базового инжиниринга.</w:t>
      </w:r>
    </w:p>
    <w:p>
      <w:r>
        <w:rPr>
          <w:sz w:val="20"/>
        </w:rPr>
        <w:t xml:space="preserve">Состав и сроки по этим позициям приведены в документе ОВЭ75-БИ-Л1-ДЦ «Исходные требования на длинноцикловое оборудование».</w:t>
      </w:r>
    </w:p>
    <w:p>
      <w:pPr>
        <w:pStyle w:val="Heading1"/>
      </w:pPr>
      <w:r>
        <w:rPr>
          <w:b/>
          <w:sz w:val="28"/>
        </w:rPr>
        <w:t xml:space="preserve">8. Открытые позиции</w:t>
      </w:r>
    </w:p>
    <w:p>
      <w:r>
        <w:rPr>
          <w:sz w:val="20"/>
        </w:rPr>
        <w:t xml:space="preserve">В разделе перечислены вопросы стоимостной части, решения по которым принимаются на стадии Базового инжиниринга либо требуют решения Заказчика. До их закрытия итоговая сводка стоимости поставки не выпускается.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перечень основного оборудования, выносимого на бюджетные предложения (ориентировочно 70–80 % стоимости поставки лота): закрепляется протоколом с Заказчиком тем же решением, что и перечень позиций под опросные листы. Перечень задаёт границу объёма стоимостной части.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перечень адресатов запросов по каждой позиции и дата рассылки: решение Заказчика; до решения запросы изготовителям не направляются.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базис цен единых условий запросов — валюта сведения оценки, курсы пересчёта и дата уровня цен: согласовываются с Заказчиком до рассылки.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величина резерва на неопределённость стадии: определяется по перечню источников неопределённости и согласовывается с Заказчиком.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разнесение стоимости систем управления между лотами при единой диспетчерской комплекса: закрепляется протоколом с Заказчиком.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выпуск итоговой сводки стоимости поставки: отдельный шаг после получения предложений; сроки увязываются с этапностью выпуска Базового инжиниринга.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валютно-логистическая схема по импортным позициям (шнековые холодильники, автоцистерны-цементовозы) и подбор аналогов производства Российской Федерации и государств Евразийского экономического союза.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граница стоимости электрооборудования — до и после комплектной трансформаторной подстанции: определяется после согласования границ поставки по Приложению №3 к Техническому заданию.</w:t>
      </w:r>
    </w:p>
    <w:p>
      <w:r>
        <w:rPr>
          <w:color w:val="555555"/>
          <w:sz w:val="18"/>
        </w:rPr>
        <w:t xml:space="preserve">Стоимостные значения по позициям перечня раздела 3 определяются по технико-коммерческим предложениям изготовителей; до их получения ценовые графы форм разделов 5 и 6 не заполняются.</w:t>
      </w:r>
    </w:p>
    <w:sectPr>
      <w:headerReference w:type="default" r:id="rIdHdr"/>
      <w:footerReference w:type="default" r:id="rIdFtr"/>
      <w:pgSz w:w="11906" w:h="16838"/>
      <w:pgMar w:top="1418" w:right="1134" w:bottom="1247" w:left="1418" w:header="567" w:footer="567" w:gutter="0"/>
      <w:pgBorders w:offsetFrom="page">
        <w:top w:val="single" w:sz="8" w:space="18" w:color="000000"/>
        <w:left w:val="single" w:sz="8" w:space="18" w:color="000000"/>
        <w:bottom w:val="single" w:sz="8" w:space="18" w:color="000000"/>
        <w:right w:val="single" w:sz="8" w:space="18" w:color="000000"/>
      </w:pgBorders>
      <w:titlePg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spacing w:after="0"/>
    </w:pPr>
  </w:p>
  <w:tbl>
    <w:tblPr>
      <w:tblW w:w="9636" w:type="dxa"/>
      <w:tblInd w:w="0" w:type="dxa"/>
      <w:tblBorders>
        <w:top w:val="single" w:sz="6" w:space="0" w:color="000000"/>
      </w:tblBorders>
      <w:tblLayout w:type="fixed"/>
      <w:tblCellMar>
        <w:left w:w="80" w:type="dxa"/>
        <w:right w:w="80" w:type="dxa"/>
      </w:tblCellMar>
    </w:tblPr>
    <w:tblGrid>
      <w:gridCol w:w="3600"/>
      <w:gridCol w:w="3200"/>
      <w:gridCol w:w="2836"/>
    </w:tblGrid>
    <w:tr>
      <w:tc>
        <w:tcPr>
          <w:tcW w:w="3600" w:type="dxa"/>
          <w:tcBorders>
            <w:top w:val="nil"/>
            <w:left w:val="nil"/>
            <w:bottom w:val="nil"/>
            <w:right w:val="nil"/>
          </w:tcBorders>
          <w:vAlign w:val="center"/>
        </w:tcPr>
        <w:p>
          <w:pPr>
            <w:spacing w:before="0" w:after="0"/>
          </w:pPr>
          <w:r>
            <w:rPr>
              <w:rFonts w:ascii="Arial" w:hAnsi="Arial" w:cs="Arial"/>
              <w:color w:val="333333"/>
              <w:sz w:val="16"/>
              <w:szCs w:val="16"/>
            </w:rPr>
            <w:t xml:space="preserve">ООО «КВАНТ» · КГМК.ОВЭ-75</w:t>
          </w:r>
        </w:p>
      </w:tc>
      <w:tc>
        <w:tcPr>
          <w:tcW w:w="3200" w:type="dxa"/>
          <w:tcBorders>
            <w:top w:val="nil"/>
            <w:left w:val="nil"/>
            <w:bottom w:val="nil"/>
            <w:right w:val="nil"/>
          </w:tcBorders>
          <w:vAlign w:val="center"/>
        </w:tcPr>
        <w:p>
          <w:pPr>
            <w:spacing w:before="0" w:after="0"/>
            <w:jc w:val="center"/>
          </w:pPr>
          <w:r>
            <w:rPr>
              <w:rFonts w:ascii="Arial" w:hAnsi="Arial" w:cs="Arial"/>
              <w:color w:val="333333"/>
              <w:sz w:val="16"/>
              <w:szCs w:val="16"/>
            </w:rPr>
            <w:t xml:space="preserve">Эскизная проработка — не для строительства</w:t>
          </w:r>
        </w:p>
      </w:tc>
      <w:tc>
        <w:tcPr>
          <w:tcW w:w="2836" w:type="dxa"/>
          <w:tcBorders>
            <w:top w:val="nil"/>
            <w:left w:val="nil"/>
            <w:bottom w:val="nil"/>
            <w:right w:val="nil"/>
          </w:tcBorders>
          <w:vAlign w:val="center"/>
        </w:tcPr>
        <w:p>
          <w:pPr>
            <w:jc w:val="right"/>
            <w:spacing w:after="0"/>
          </w:pPr>
          <w:r>
            <w:rPr>
              <w:rFonts w:ascii="Arial" w:hAnsi="Arial" w:cs="Arial"/>
              <w:color w:val="333333"/>
              <w:sz w:val="16"/>
              <w:szCs w:val="16"/>
            </w:rPr>
            <w:t xml:space="preserve">Лист </w:t>
          </w:r>
          <w:r>
            <w:rPr>
              <w:sz w:val="16"/>
            </w:rPr>
            <w:fldChar w:fldCharType="begin"/>
          </w:r>
          <w:r>
            <w:rPr>
              <w:sz w:val="16"/>
            </w:rPr>
            <w:instrText xml:space="preserve"> PAGE </w:instrText>
          </w:r>
          <w:r>
            <w:rPr>
              <w:sz w:val="16"/>
            </w:rPr>
            <w:fldChar w:fldCharType="separate"/>
          </w:r>
          <w:r>
            <w:rPr>
              <w:sz w:val="16"/>
            </w:rPr>
            <w:t>1</w:t>
          </w:r>
          <w:r>
            <w:rPr>
              <w:sz w:val="16"/>
            </w:rPr>
            <w:fldChar w:fldCharType="end"/>
          </w:r>
          <w:r>
            <w:rPr>
              <w:rFonts w:ascii="Arial" w:hAnsi="Arial" w:cs="Arial"/>
              <w:color w:val="333333"/>
              <w:sz w:val="16"/>
              <w:szCs w:val="16"/>
            </w:rPr>
            <w:t xml:space="preserve"> из </w:t>
          </w:r>
          <w:r>
            <w:rPr>
              <w:sz w:val="16"/>
            </w:rPr>
            <w:fldChar w:fldCharType="begin"/>
          </w:r>
          <w:r>
            <w:rPr>
              <w:sz w:val="16"/>
            </w:rPr>
            <w:instrText xml:space="preserve"> NUMPAGES </w:instrText>
          </w:r>
          <w:r>
            <w:rPr>
              <w:sz w:val="16"/>
            </w:rPr>
            <w:fldChar w:fldCharType="separate"/>
          </w:r>
          <w:r>
            <w:rPr>
              <w:sz w:val="16"/>
            </w:rPr>
            <w:t>1</w:t>
          </w:r>
          <w:r>
            <w:rPr>
              <w:sz w:val="16"/>
            </w:rPr>
            <w:fldChar w:fldCharType="end"/>
          </w:r>
        </w:p>
      </w:tc>
    </w:tr>
  </w:tbl>
</w:ftr>
</file>

<file path=word/header1.xml><?xml version="1.0" encoding="utf-8"?>
<w:hdr xmlns:w="http://schemas.openxmlformats.org/wordprocessingml/2006/main" xmlns:r="http://schemas.openxmlformats.org/officeDocument/2006/relationships">
  <w:tbl>
    <w:tblPr>
      <w:tblW w:w="9636" w:type="dxa"/>
      <w:tblInd w:w="0" w:type="dxa"/>
      <w:tblBorders>
        <w:bottom w:val="single" w:sz="6" w:space="0" w:color="000000"/>
      </w:tblBorders>
      <w:tblLayout w:type="fixed"/>
      <w:tblCellMar>
        <w:left w:w="80" w:type="dxa"/>
        <w:right w:w="80" w:type="dxa"/>
      </w:tblCellMar>
    </w:tblPr>
    <w:tblGrid>
      <w:gridCol w:w="7200"/>
      <w:gridCol w:w="2436"/>
    </w:tblGrid>
    <w:tr>
      <w:tc>
        <w:tcPr>
          <w:tcW w:w="7200" w:type="dxa"/>
          <w:tcBorders>
            <w:top w:val="nil"/>
            <w:left w:val="nil"/>
            <w:bottom w:val="nil"/>
            <w:right w:val="nil"/>
          </w:tcBorders>
          <w:vAlign w:val="center"/>
        </w:tcPr>
        <w:p>
          <w:pPr>
            <w:spacing w:before="0" w:after="0"/>
          </w:pPr>
          <w:r>
            <w:rPr>
              <w:rFonts w:ascii="Arial" w:hAnsi="Arial" w:cs="Arial"/>
              <w:color w:val="333333"/>
              <w:sz w:val="16"/>
              <w:szCs w:val="16"/>
            </w:rPr>
            <w:t xml:space="preserve">ОВЭ75-БИ-Л1-СТ · Стоимостной блок: порядок сбора ТКП и бюджетной оценки поставки</w:t>
          </w:r>
          <w:r>
            <w:rPr>
              <w:rFonts w:ascii="Arial" w:hAnsi="Arial" w:cs="Arial"/>
              <w:color w:val="777777"/>
              <w:sz w:val="16"/>
              <w:szCs w:val="16"/>
            </w:rPr>
            <w:t xml:space="preserve"> · Лот №1 «Цех обжига»</w:t>
          </w:r>
        </w:p>
      </w:tc>
      <w:tc>
        <w:tcPr>
          <w:tcW w:w="2436" w:type="dxa"/>
          <w:tcBorders>
            <w:top w:val="nil"/>
            <w:left w:val="nil"/>
            <w:bottom w:val="nil"/>
            <w:right w:val="nil"/>
          </w:tcBorders>
          <w:vAlign w:val="center"/>
        </w:tcPr>
        <w:p>
          <w:pPr>
            <w:spacing w:before="0" w:after="0"/>
            <w:jc w:val="right"/>
          </w:pPr>
          <w:r>
            <w:rPr>
              <w:rFonts w:ascii="Arial" w:hAnsi="Arial" w:cs="Arial"/>
              <w:color w:val="333333"/>
              <w:sz w:val="16"/>
              <w:szCs w:val="16"/>
            </w:rPr>
            <w:t xml:space="preserve">Ревизия 0</w:t>
          </w:r>
        </w:p>
      </w:tc>
    </w:tr>
  </w:tbl>
  <w:p>
    <w:pPr>
      <w:spacing w:after="0"/>
    </w:pPr>
  </w:p>
</w:hdr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2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pPr>
      <w:keepNext/>
      <w:spacing w:before="360" w:after="160"/>
      <w:outlineLvl w:val="0"/>
    </w:pPr>
    <w:rPr>
      <w:b/>
      <w:sz w:val="32"/>
    </w:rPr>
  </w:style>
  <w:style w:type="paragraph" w:styleId="Heading2">
    <w:name w:val="heading 2"/>
    <w:basedOn w:val="Normal"/>
    <w:pPr>
      <w:keepNext/>
      <w:spacing w:before="280" w:after="120"/>
      <w:outlineLvl w:val="1"/>
    </w:pPr>
    <w:rPr>
      <w:b/>
      <w:sz w:val="26"/>
    </w:rPr>
  </w:style>
  <w:style w:type="paragraph" w:styleId="Muted">
    <w:name w:val="Muted"/>
    <w:basedOn w:val="Normal"/>
    <w:rPr>
      <w:color w:val="666666"/>
      <w:sz w:val="20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Hdr" Type="http://schemas.openxmlformats.org/officeDocument/2006/relationships/header" Target="header1.xml"/><Relationship Id="rIdFtr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ООО «КВАНТ» · проект ОВЭ-75</Application>
  <Company>ООО «КВАНТ»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ОВЭ75-БИ-Л1-СТ · Стоимостной блок: порядок сбора ТКП и бюджетной оценки поставки</dc:title>
  <dc:creator>ООО «КВАНТ»</dc:creator>
  <cp:lastModifiedBy>ООО «КВАНТ»</cp:lastModifiedBy>
  <dcterms:created xsi:type="dcterms:W3CDTF">2026-09-02T09:00:00Z</dcterms:created>
  <dcterms:modified xsi:type="dcterms:W3CDTF">2026-09-02T09:00:00Z</dcterms:modified>
</cp:coreProperties>
</file>