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Требования к монтажу (включая вес самых тяжёлых частей)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монтажных единиц, последовательность монтажа и требования к грузоподъёмным механизмам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ОВЭ75-БИ-Л2-МТ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D-17.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требования к монтажу технологического оборудования Лота №2 «Участок купороса», включая массы и габариты самых тяжёлых и крупногабаритных частей, требования к монтажным проёмам и путям подачи, последовательность крупноблочного монтажа, требования к грузоподъёмным механизмам и такелажной оснастке и особые требования к отдельным видам работ. Документ выполняет требование состава Базового инжиниринга «Требования к монтажу (включая вес самых тяжёлых частей)» Технического задания на Базовый инжиниринг ред. 4.1.</w:t>
      </w:r>
    </w:p>
    <w:p>
      <w:r>
        <w:rPr>
          <w:sz w:val="20"/>
        </w:rPr>
        <w:t xml:space="preserve">Требования настоящего документа являются исходными данными для разработки проекта производства работ монтажной организацией, для назначения монтажных проёмов и путей подачи в компоновочных решениях, для проверки строительных конструкций на монтажные нагрузки и для формирования требований монтажной технологичности в опросных листах и технических условиях поставки оборудования.</w:t>
      </w:r>
    </w:p>
    <w:p>
      <w:r>
        <w:rPr>
          <w:sz w:val="20"/>
        </w:rPr>
        <w:t xml:space="preserve">Проработанный вариант размещения участка — существующее здание гидрометаллургического участка: корпус 96 × 108 м, пролёты по буквенным осям 18 + 6 + 24 + 24 + 24 м, шаг колонн 6 м, мостовые краны грузоподъёмностью 5 и 7,5 т с верхом рельсов +10,000 и +10,500. Определяющее условие организации монтажа: грузоподъёмность существующих кранов ниже массы наибольшей неделимой части оборудования, поэтому способ подачи крупногабарита (укрупнительная сборка на площадке либо мобильный кран через монтажный проём) является самостоятельным решением стадии Базового инжиниринга. В базовом сценарии нового корпуса требования настоящего документа служат заданием на монтажную зону и грузоподъёмность кранового оборудования.</w:t>
      </w:r>
    </w:p>
    <w:p>
      <w:r>
        <w:rPr>
          <w:color w:val="666666"/>
          <w:sz w:val="17"/>
        </w:rPr>
        <w:t xml:space="preserve">Источник: ИД ч.2 (разд. 4.2.1 — материальное исполнение, рис. 4.4 и 4.5 — спецификации ниток выпарки); ТЗ на БИ ред. 4.1 (п. 1.3 — базис размещения, п. 4.4 — состав оборудования); приложение №7 к ТЗ — обмерные чертежи здания гидрометаллургического участка;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pPr>
        <w:pStyle w:val="Heading2"/>
      </w:pPr>
      <w:r>
        <w:rPr>
          <w:b/>
          <w:sz w:val="24"/>
        </w:rPr>
        <w:t xml:space="preserve">1.2 Границы объёма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69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Раздел объёма</w:t>
            </w:r>
          </w:p>
        </w:tc>
        <w:tc>
          <w:tcPr>
            <w:tcW w:w="690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Выдаётся в составе Базового инжиниринга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Ведомость тяжёлых и крупногабаритных монтажных единиц с массами, габаритами и отметками установки; требования к монтажным проёмам и путям подачи; последовательность крупноблочного монтажа; требования к грузоподъёмным механизмам и такелажной оснастке; особые требования к производству отдельных видов работ; требования монтажной технологичности, транслируемые в опросные листы и технические требования поставки.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стадии проекта производства работ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Проект производства работ, в том числе проект производства работ с применением подъёмных сооружений: расстановка кранов по стоянкам, схемы строповки конкретных грузов, расчёты устойчивости и нагрузок на основания под опорами кранов, календарный график монтажа, потребность в оснастке и персонале. Разрабатывается монтажной организацией на основании настоящих требований и компоновочных решений лота.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7"/>
              </w:rPr>
              <w:t xml:space="preserve">Относится к поставке оборудования</w:t>
            </w:r>
          </w:p>
        </w:tc>
        <w:tc>
          <w:tcPr>
            <w:tcW w:w="6904" w:type="dxa"/>
          </w:tcPr>
          <w:p>
            <w:r>
              <w:rPr>
                <w:sz w:val="17"/>
              </w:rPr>
              <w:t xml:space="preserve">Массы, координаты центров тяжести, деление на транспортабельные и монтажные блоки, схемы строповки за штатные элементы, инструкции по монтажу и выверке, объём шеф-монтажа. Поступают с техническими предложениями и конструкторской документацией изготовителей и вносятся в ведомость настоящего документа итерацией.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1.3 Достоверность массовых характеристик</w:t>
      </w:r>
    </w:p>
    <w:p>
      <w:r>
        <w:rPr>
          <w:sz w:val="20"/>
        </w:rPr>
        <w:t xml:space="preserve">Массы и габариты ведомости раздела 2 имеют разную степень определённости. Каждое значение сопровождается указанием источника; порядок использования значений при назначении механизмов и оснастки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900"/>
        <w:gridCol w:w="3700"/>
        <w:gridCol w:w="3754"/>
      </w:tblGrid>
      <w:tr>
        <w:trPr>
          <w:tblHeader/>
          <w:cantSplit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3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37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использования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Задано исходными данными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Масса или габарит приведены в исходных данных Заказчика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без изменения; уточняется конструкторской документацией изготовителя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Расчёт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получено расчётом по геометрии, объёму и плотности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Принимается как предварительное; уточняется по фактическим характеристикам поставки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Предварительная оценка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Значение оценено Исполнителем по геометрии и аналогам, задано диапазоном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В расчёты монтажной оснастки и грузоподъёмности принимается верхняя граница диапазона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7"/>
              </w:rPr>
              <w:t xml:space="preserve">По ТКП изготовителя</w:t>
            </w:r>
          </w:p>
        </w:tc>
        <w:tc>
          <w:tcPr>
            <w:tcW w:w="3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3754" w:type="dxa"/>
          </w:tcPr>
          <w:p>
            <w:r>
              <w:rPr>
                <w:sz w:val="17"/>
              </w:rPr>
              <w:t xml:space="preserve">Резервируются место установки, грузоподъёмность механизма и предельная масса блока; значение вносится по техническому предложению</w:t>
            </w:r>
          </w:p>
        </w:tc>
      </w:tr>
    </w:tbl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вносится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1.4 Нормативная база производства монтажных работ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75.13330.2011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Технологическое оборудование и технологические трубопроводы — производство и приёмка монтажных работ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по подъёмным сооружениям (приказ Ростехнадзора от 26.11.2020 № 461)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Грузоподъёмные операции, работа мобильных кранов, проект производства работ с применением подъёмных сооружений на подъёмы у существующих конструкций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Федеральные нормы и правила (приказ Ростехнадзора от 15.12.2020 № 536)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 и испытания оборудования под давлением (паровые полости подогревателей)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Монтажные стыки и опорные конструкции этажерок и стояков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Трубопроводы технологические стальные — испытания на прочность и плотность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6032-2017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Стали и сплавы коррозионностойкие — испытание на стойкость к межкристаллитной коррозии сварных соединений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34233.1-2017, ГОСТ 34233.2-2017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Сосуды и аппараты — расчёт на прочность и на наружное давление; пробные давления при испытаниях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68.13330.2017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Приёмка законченных строительством объектов</w:t>
            </w:r>
          </w:p>
        </w:tc>
      </w:tr>
    </w:tbl>
    <w:p>
      <w:r>
        <w:rPr>
          <w:color w:val="555555"/>
          <w:sz w:val="18"/>
        </w:rPr>
        <w:t xml:space="preserve">Далее по тексту сокращение ФНП означает федеральные нормы и правила в области промышленной безопасности, утверждённые приказом Ростехнадзора с указанным номером.</w:t>
      </w:r>
    </w:p>
    <w:p>
      <w:pPr>
        <w:pStyle w:val="Heading2"/>
      </w:pPr>
      <w:r>
        <w:rPr>
          <w:b/>
          <w:sz w:val="24"/>
        </w:rPr>
        <w:t xml:space="preserve">1.5 Условия производства работ на площадке</w:t>
      </w:r>
    </w:p>
    <w:p>
      <w:r>
        <w:rPr>
          <w:sz w:val="20"/>
        </w:rPr>
        <w:t xml:space="preserve">Площадка размещения — промышленная площадка в городе Мончегорске Мурманской области. Условия площадки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холодная пятидневка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−34 °C при обеспеченности 0,98; −30 °C при 0,92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Наиболее холодные сутки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−40 °C — расчётная температура для мероприятий зимнего монтажа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</w:tbl>
    <w:p>
      <w:r>
        <w:rPr>
          <w:sz w:val="20"/>
        </w:rPr>
        <w:t xml:space="preserve">Из условий площадки вытекают требования, обязательные для проекта производства работ: бетонные, футеровочные, окрасочные и герметизирующие работы при отрицательных температурах выполняются в тепляках с прогревом и контролем температуры твердения; ветровое ограничение подъёмных операций принимается по паспорту крана и снижается при подъёме крупных парусных конструкций (корпусные секции электрофильтров, царги, обечайки силосов); зарегистрированный порыв 33 м/с учитывается при назначении расчалок и временного раскрепления смонтированных, но не закреплённых окончательно конструкций; снеговая нагрузка на смонтированные горизонтальные поверхности до устройства кровли требует организованной очистки.</w:t>
      </w:r>
    </w:p>
    <w:p>
      <w:pPr>
        <w:pStyle w:val="Heading1"/>
      </w:pPr>
      <w:r>
        <w:rPr>
          <w:b/>
          <w:sz w:val="28"/>
        </w:rPr>
        <w:t xml:space="preserve">2. Ведомость тяжёлых и крупногабаритных монтажных единиц</w:t>
      </w:r>
    </w:p>
    <w:p>
      <w:r>
        <w:rPr>
          <w:sz w:val="20"/>
        </w:rPr>
        <w:t xml:space="preserve">В ведомость включены позиции, определяющие выбор грузоподъёмных механизмов, габариты монтажных проёмов и последовательность работ: наиболее тяжёлые монтажные единицы, крупногабаритные и длинномерные части, а также позиции, требующие специальных способов подачи. Массы приведены для монтажного состояния — без рабочего заполнения, футеровки по месту и съёмных элементов, если иное не оговорено в графе.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60"/>
        <w:gridCol w:w="1900"/>
        <w:gridCol w:w="1140"/>
        <w:gridCol w:w="1300"/>
        <w:gridCol w:w="1350"/>
        <w:gridCol w:w="2100"/>
        <w:gridCol w:w="1104"/>
      </w:tblGrid>
      <w:tr>
        <w:trPr>
          <w:tblHeader/>
          <w:cantSplit/>
        </w:trPr>
        <w:tc>
          <w:tcPr>
            <w:tcW w:w="46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Монтажная единица</w:t>
            </w:r>
          </w:p>
        </w:tc>
        <w:tc>
          <w:tcPr>
            <w:tcW w:w="114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Габарит, м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 и место установки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 и способ подачи</w:t>
            </w:r>
          </w:p>
        </w:tc>
        <w:tc>
          <w:tcPr>
            <w:tcW w:w="110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Испаритель I ступени с выносным подогревателем — корпус в сборе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8–15 без содержимого (предварительная оценка при интегральной поставке)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высота 9–12 (оценочно); объём 34,5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 отметки около 0…+1 до +10…+12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При грузоподъёмности механизма ниже массы аппарата — укрупнительная сборка из транспортабельных частей с монтажной сваркой; иначе подача целиком мобильным краном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Испаритель II ступени с принудительной циркуляцией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8–15 без содержимого (унифицирован с аппаратом I ступени)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объём 34,5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Этажерка II ступеней, низ конуса около +8…+9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Установка на этажерку после её монтажа и приёмки; подача — тем же способом, что и аппарат I ступени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Выносной подогреватель, поверхность 63 м²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У корпуса испарителя I ступени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Отдельная транспортная единица; подача и стыковка с корпусом на месте, монтажные швы по аттестованной технологии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Барометрический конденсатор нитки медного купороса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2,0; высота корпуса 2,0–2,5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Верх +11,0…+11,5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Подъём и установка на опоры у колонн вне зоны прохода кранов; до закрытия зоны кровли либо через монтажный проём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Барометрическая труба (стояк) с гидрозатвором, Ду 350–400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Длина 10,5; Ду 350–400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Стояк у колонн; гидрозатвор в приямке глубиной 2,0–2,5 м, уровень воды −1,5…−2,0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секциями с монтажными стыками; обязательная выверка вертикальности по всей длине; приямок выполняется до подачи стояка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Солевая колонна испарителя II ступени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Столб пульпы 7,0–7,9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Под испарителем II ступени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секциями с монтажными стыками; выверка вертикальности обязательна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Испарители I и II ступеней нитки смешанного купороса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изготовителя; ниже аппаратов нитки медного купороса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Ø 1,3; объём 8,9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I ступень — на постаменте; II ступень — этажерка +8…+9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Подъём в пределах грузоподъёмности существующих кранов подтверждается после получения масс изготовителя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Расчёт КВАНТ; ИД ч.2 рис. 4.5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Бак маточника 2, 16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Объём 16,0 м³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в поддоне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плиту пола в поддоне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4.5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Репульпаторы растворения купороса, 2 × 8 м³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Объём 8,0 м³ каждый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два последовательных аппарата в поддоне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средствами; привод мешалки — отдельной транспортной единицей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pPr>
              <w:keepNext/>
            </w:pPr>
            <w:r>
              <w:rPr>
                <w:b/>
                <w:sz w:val="16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Пульсирующие фильтрующие центрифуги (4 шт.)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индивидуальные виброизолированные фундаменты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после набора прочности фундаментов; выверка и подливка по инструкции изготовителя, протокол вибрации при обкатке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 и 4.5</w:t>
            </w:r>
          </w:p>
        </w:tc>
      </w:tr>
      <w:tr>
        <w:trPr>
          <w:cantSplit/>
        </w:trPr>
        <w:tc>
          <w:tcPr>
            <w:tcW w:w="46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900" w:type="dxa"/>
          </w:tcPr>
          <w:p>
            <w:r>
              <w:rPr>
                <w:sz w:val="15"/>
              </w:rPr>
              <w:t xml:space="preserve">Пароэжекторный блок с вакуум-насосом (по одному на нитку)</w:t>
            </w:r>
          </w:p>
        </w:tc>
        <w:tc>
          <w:tcPr>
            <w:tcW w:w="114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00" w:type="dxa"/>
          </w:tcPr>
          <w:p>
            <w:r>
              <w:rPr>
                <w:sz w:val="15"/>
              </w:rPr>
              <w:t xml:space="preserve">По ТКП изготовителя</w:t>
            </w:r>
          </w:p>
        </w:tc>
        <w:tc>
          <w:tcPr>
            <w:tcW w:w="1350" w:type="dxa"/>
          </w:tcPr>
          <w:p>
            <w:r>
              <w:rPr>
                <w:sz w:val="15"/>
              </w:rPr>
              <w:t xml:space="preserve">Отметка 0,000, рама у конденсаторного узла нитки</w:t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Монтаж цеховыми средствами на виброизолированную раму</w:t>
            </w:r>
          </w:p>
        </w:tc>
        <w:tc>
          <w:tcPr>
            <w:tcW w:w="1104" w:type="dxa"/>
          </w:tcPr>
          <w:p>
            <w:r>
              <w:rPr>
                <w:sz w:val="15"/>
              </w:rPr>
              <w:t xml:space="preserve">ИД ч.2 рис. 4.4 и 4.5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2.1 Примечания к ведомости</w:t>
      </w:r>
    </w:p>
    <w:p>
      <w:r>
        <w:rPr>
          <w:sz w:val="20"/>
        </w:rPr>
        <w:t xml:space="preserve">1. Массы аппаратов в исполнении из стали 904L приведены ориентировочно для интегральной поставки и уточняются по опросным листам изготовителей: корпуса, выносной подогреватель 63 м² и конденсаторы поставляются разными комплектами.</w:t>
      </w:r>
    </w:p>
    <w:p>
      <w:r>
        <w:rPr>
          <w:sz w:val="20"/>
        </w:rPr>
        <w:t xml:space="preserve">2. Наибольшая эксплуатационная масса участка — заполненный испаритель нитки медного купороса: около 45 т содержимого при объёме 34,5 м³ и плотности пульпы 1,3 т/м³. Эта масса не является монтажной: заполнение выполняется только после установки аппарата на штатные опоры, монтажная оснастка на неё не рассчитывается.</w:t>
      </w:r>
    </w:p>
    <w:p>
      <w:r>
        <w:rPr>
          <w:sz w:val="20"/>
        </w:rPr>
        <w:t xml:space="preserve">3. Полный налив испарителя водой при гидравлическом испытании даёт 34,5 т, что ниже расчётного рабочего заполнения пульпой около 45 т: испытательный случай перекрыт рабочим расчётом фундаментов и отдельного усиления конструкций не требует.</w:t>
      </w:r>
    </w:p>
    <w:p>
      <w:r>
        <w:rPr>
          <w:sz w:val="20"/>
        </w:rPr>
        <w:t xml:space="preserve">4. Наружный диаметр аппаратов 2,0 м вписывается в габарит автомобильной перевозки без специального разрешения (ширина до 2,55 м). Длина транспортных секций согласуется с изготовителем при размещении заказа.</w:t>
      </w:r>
    </w:p>
    <w:p>
      <w:pPr>
        <w:pStyle w:val="Heading1"/>
      </w:pPr>
      <w:r>
        <w:rPr>
          <w:b/>
          <w:sz w:val="28"/>
        </w:rPr>
        <w:t xml:space="preserve">3. Доставка на площадку и транспортабельность</w:t>
      </w:r>
    </w:p>
    <w:p>
      <w:r>
        <w:rPr>
          <w:sz w:val="20"/>
        </w:rPr>
        <w:t xml:space="preserve">Диаметр аппаратов 2,0 м вписывается в габарит автомобильной перевозки без специального разрешения; ограничивающим параметром является длина транспортной секции, которая согласуется с изготовителем. Барометрические трубы длиной около 10,5 м и солевые колонны со столбом пульпы 7,0–7,9 м поставляются секциями с монтажными стыками.</w:t>
      </w:r>
    </w:p>
    <w:p>
      <w:r>
        <w:rPr>
          <w:sz w:val="20"/>
        </w:rPr>
        <w:t xml:space="preserve">Если по результатам обследования габариты существующих проёмов и ворот не позволяют завести аппарат целиком, применяется поставка транспортабельными частями массой не более грузоподъёмности существующих кранов (5 и 7,5 т) с последующей укрупнительной сборкой и монтажной сваркой на площадке. Требование к делению на транспортабельные части и расположению монтажных стыков включается в опросные листы до запроса технических предложений.</w:t>
      </w:r>
    </w:p>
    <w:p>
      <w:r>
        <w:rPr>
          <w:sz w:val="20"/>
        </w:rPr>
        <w:t xml:space="preserve">Оборудование в исполнении из стали 904L транспортируется и хранится с исключением контакта с углеродистой сталью: раздельные подкладки и стропы, защита кромок и патрубков, консервация внутренних полостей. Приёмка на площадке включает проверку сохранности консервации и маркировки материала.</w:t>
      </w:r>
    </w:p>
    <w:p>
      <w:r>
        <w:rPr>
          <w:sz w:val="20"/>
        </w:rPr>
        <w:t xml:space="preserve">Приёмка оборудования на площадке выполняется с проверкой комплектности по отгрузочным документам, сохранности упаковки и консервации, наличия паспортов, сертификатов и деклараций соответствия. Условия и сроки хранения до монтажа принимаются по инструкции изготовителя; порядок расконсервации перед монтажом оформляется актом.</w:t>
      </w:r>
    </w:p>
    <w:p>
      <w:pPr>
        <w:pStyle w:val="Heading1"/>
      </w:pPr>
      <w:r>
        <w:rPr>
          <w:b/>
          <w:sz w:val="28"/>
        </w:rPr>
        <w:t xml:space="preserve">4. Монтажные проёмы и пути подачи оборудования</w:t>
      </w:r>
    </w:p>
    <w:p>
      <w:r>
        <w:rPr>
          <w:sz w:val="20"/>
        </w:rPr>
        <w:t xml:space="preserve">В резервном сценарии размещения в существующем здании пути подачи ограничены существующими воротами и монтажными проёмами. Их фактические габариты, отметки и несущая способность перекрытий на маршруте подачи определяются обмерным обследованием, которое включается в первый этап Базового инжиниринга. До получения результатов обследования способ заводки крупногабарита остаётся открытой позицией.</w:t>
      </w:r>
    </w:p>
    <w:p>
      <w:r>
        <w:rPr>
          <w:sz w:val="20"/>
        </w:rPr>
        <w:t xml:space="preserve">Рассматриваются три пути подачи: через существующие ворота на нулевой отметке с перемещением по полу пролёта; через монтажный проём в покрытии мобильным краном; поэлементная подача транспортабельных частей с укрупнительной сборкой в зоне монтажа. Выбор фиксируется после обследования и получения масс изготовителей.</w:t>
      </w:r>
    </w:p>
    <w:p>
      <w:r>
        <w:rPr>
          <w:sz w:val="20"/>
        </w:rPr>
        <w:t xml:space="preserve">В базовом сценарии нового корпуса монтажная зона закладывается в компоновку: свободный пролёт от ворот до места установки аппаратов, отсутствие постоянных конструкций над трассой подачи и грузоподъёмность кранового оборудования не ниже массы наибольшей неделимой части.</w:t>
      </w:r>
    </w:p>
    <w:p>
      <w:r>
        <w:rPr>
          <w:sz w:val="20"/>
        </w:rPr>
        <w:t xml:space="preserve">Приямки гидрозатворов глубиной 2,0–2,5 м и виброизолированные фундаменты центрифуг выполняются до подачи крупногабарита в пролёт: после установки аппаратов доступ к зонам земляных и бетонных работ закрывается.</w:t>
      </w:r>
    </w:p>
    <w:p>
      <w:r>
        <w:rPr>
          <w:sz w:val="20"/>
        </w:rPr>
        <w:t xml:space="preserve">Габариты монтажных проёмов назначаются по наибольшей монтажной единице с запасом на строповку, наклон и разворот груза. Проёмы и пути подачи наносятся на планы и разрезы компоновочных решений лота; конструкции, закрывающие проёмы, выполняются съёмными, если проём используется при последующих ремонтах.</w:t>
      </w:r>
    </w:p>
    <w:p>
      <w:pPr>
        <w:pStyle w:val="Heading1"/>
      </w:pPr>
      <w:r>
        <w:rPr>
          <w:b/>
          <w:sz w:val="28"/>
        </w:rPr>
        <w:t xml:space="preserve">5. Последовательность крупноблочного монтажа</w:t>
      </w:r>
    </w:p>
    <w:p>
      <w:r>
        <w:rPr>
          <w:sz w:val="20"/>
        </w:rPr>
        <w:t xml:space="preserve">Последовательность приведена как требование Базового инжиниринга к организации работ. Календарные сроки, совмещение этапов и потребность в ресурсах определяются проектом производства работ; переход к следующему этапу допускается после выполнения условия, указанного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60"/>
        <w:gridCol w:w="3800"/>
        <w:gridCol w:w="2900"/>
        <w:gridCol w:w="2094"/>
      </w:tblGrid>
      <w:tr>
        <w:trPr>
          <w:tblHeader/>
          <w:cantSplit/>
        </w:trPr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Этап</w:t>
            </w:r>
          </w:p>
        </w:tc>
        <w:tc>
          <w:tcPr>
            <w:tcW w:w="3800" w:type="dxa"/>
            <w:shd w:val="clear" w:fill="EFEFEF"/>
          </w:tcPr>
          <w:p>
            <w:r>
              <w:rPr>
                <w:b/>
                <w:sz w:val="15"/>
              </w:rPr>
              <w:t xml:space="preserve">Состав работ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 начала и завершения</w:t>
            </w:r>
          </w:p>
        </w:tc>
        <w:tc>
          <w:tcPr>
            <w:tcW w:w="2094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Механизмы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Обмерное обследование существующих конструкций, проёмов и ворот, поверочные расчёты перекрытий и ростверков (резервный сценарий); готовность корпуса (базовый сценарий)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первый этап Базового инжиниринга; завершение — заключение о допустимости нагрузок и о способе заводки крупногабарита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обследования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Устройство приямков гидрозатворов глубиной 2,0–2,5 м с кислотостойкой отделкой, виброизолированных фундаментов центрифуг, поддонов и трапов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заключения обследования; завершение — набор прочности бетона и приёмка гидроизоляции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строительной части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этажерки испарителей II ступеней с отметкой низа конуса около +8…+9 и опорных конструкций стояков барометрических труб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Выполняется до установки аппаратов; завершение — геодезическая исполнительная схема отметок опорных узлов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Мобильный кран или цеховые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Подача и установка крупногабарита: испарители I и II ступеней, выносной подогреватель, барометрические конденсаторы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приёмки опорных конструкций; способ подачи — по решению, принятому на этапе 1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Мобильный кран через монтажный проём либо цеховые краны при поблочной подаче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Укрупнительная сборка и монтажная сварка корпусов из транспортабельных частей (при поблочной поставке)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Выполняется по аттестованным технологиям сварки; завершение — неразрушающий контроль монтажных швов в объёме опросного листа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Сварочное оборудование, оснастка для сборки под сварку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стояков барометрических труб и солевых колонн секциями с монтажными стыками; выверка вертикальности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исполнительная схема вертикальности и отметок уровня воды гидрозатворов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Цеховые краны, монтажные мачты и лебёдки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технологических трубопроводов, арматуры и вакуумного контура; монтаж паровых линий и эжекторов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испытания на прочность и плотность, испытание вакуумного контура по скорости падения вакуума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Такелажные средства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Травление и пассивация зон монтажной сварки, удаление свободного железа, финальная промывка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Начало — после завершения сварочных и абразивных работ в зоне; завершение — контроль остаточного свободного железа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химической обработки поверхностей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Монтаж электротехнической части, приборов контроля и автоматизации, оборудования автоматизированной системы управления участком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автономная наладка и поканальная проверка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монтажа систем автоматизации</w:t>
            </w:r>
          </w:p>
        </w:tc>
      </w:tr>
      <w:tr>
        <w:trPr>
          <w:cantSplit/>
        </w:trPr>
        <w:tc>
          <w:tcPr>
            <w:tcW w:w="56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3800" w:type="dxa"/>
          </w:tcPr>
          <w:p>
            <w:r>
              <w:rPr>
                <w:sz w:val="16"/>
              </w:rPr>
              <w:t xml:space="preserve">Индивидуальные испытания, испытания на плотность и прочность; передача оборудования в пусконаладку</w:t>
            </w:r>
          </w:p>
        </w:tc>
        <w:tc>
          <w:tcPr>
            <w:tcW w:w="2900" w:type="dxa"/>
          </w:tcPr>
          <w:p>
            <w:r>
              <w:rPr>
                <w:sz w:val="16"/>
              </w:rPr>
              <w:t xml:space="preserve">Завершение — акт о выполнении монтажных работ</w:t>
            </w:r>
          </w:p>
        </w:tc>
        <w:tc>
          <w:tcPr>
            <w:tcW w:w="2094" w:type="dxa"/>
          </w:tcPr>
          <w:p>
            <w:r>
              <w:rPr>
                <w:sz w:val="16"/>
              </w:rPr>
              <w:t xml:space="preserve">Средства испытаний и наладки</w:t>
            </w:r>
          </w:p>
        </w:tc>
      </w:tr>
    </w:tbl>
    <w:p>
      <w:r>
        <w:rPr>
          <w:sz w:val="20"/>
        </w:rPr>
        <w:t xml:space="preserve">Ограничение последовательности: приямки гидрозатворов и этажерка испарителей II ступеней должны быть выполнены до подачи аппаратов в пролёт, а способ подачи должен быть выбран до размещения заказа на оборудование — от него зависит требование к делению корпусов на транспортабельные части, включаемое в опросные листы.</w:t>
      </w:r>
    </w:p>
    <w:p>
      <w:pPr>
        <w:pStyle w:val="Heading1"/>
      </w:pPr>
      <w:r>
        <w:rPr>
          <w:b/>
          <w:sz w:val="28"/>
        </w:rPr>
        <w:t xml:space="preserve">6. Грузоподъёмные механизмы и такелаж</w:t>
      </w:r>
    </w:p>
    <w:p>
      <w:r>
        <w:rPr>
          <w:sz w:val="20"/>
        </w:rPr>
        <w:t xml:space="preserve">Потребность в грузоподъёмных механизмах определена по ведомости раздела 2: требуемая грузоподъёмность назначена по наибольшей монтажной единице с учётом массы траверсы и оснастки, требуемая высота подъёма — по наибольшей отметке установки с запасом на строповку.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2700"/>
        <w:gridCol w:w="3300"/>
        <w:gridCol w:w="1154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Механизм, оснастка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Назначение в монтаже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5"/>
              </w:rPr>
              <w:t xml:space="preserve">Требуемая характеристика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Существующие мостовые краны здания гидрометаллургического участка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лёгкого и среднего оборудования, обслуживание в эксплуатации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5 и 7,5 т при верхе рельсов +10,000 и +10,500 — ниже массы наибольшей неделимой части аппарата (8–15 т); для монтажа крупногабарита недостаточны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Прил. №7 к ТЗ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Мобильный автомобильный кран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Подача и установка испарителей, подогревателя и конденсаторов целиком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на вылете не ниже 15 т (верхняя граница оценки массы аппарата) с учётом массы траверсы; работа через монтажный проём либо до закрытия зоны кровли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Крановое оборудование нового корпуса (базовый сценарий)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Монтаж и эксплуатационное обслуживание аппаратов участка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Грузоподъёмность не ниже массы наибольшей неделимой части — предварительно 15 т; окончательно по опросным листам изготовителей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БИ; ТЗ п. 1.3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Монтажные мачты, лебёдки и полиспасты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Подъём и вертикальная выверка стояков барометрических труб и солевых колонн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Назначаются по массе плети и высоте подъёма; схема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6"/>
              </w:rPr>
              <w:t xml:space="preserve">Текстильные стропы и защитные прокладки</w:t>
            </w:r>
          </w:p>
        </w:tc>
        <w:tc>
          <w:tcPr>
            <w:tcW w:w="2700" w:type="dxa"/>
          </w:tcPr>
          <w:p>
            <w:r>
              <w:rPr>
                <w:sz w:val="16"/>
              </w:rPr>
              <w:t xml:space="preserve">Строповка оборудования из стали 904L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Контакт с углеродистой сталью исключается: применяются текстильные стропы либо стропы с защитными прокладками</w:t>
            </w:r>
          </w:p>
        </w:tc>
        <w:tc>
          <w:tcPr>
            <w:tcW w:w="1154" w:type="dxa"/>
          </w:tcPr>
          <w:p>
            <w:r>
              <w:rPr>
                <w:sz w:val="16"/>
              </w:rPr>
              <w:t xml:space="preserve">ИД ч.2 разд. 4.2.1</w:t>
            </w:r>
          </w:p>
        </w:tc>
      </w:tr>
    </w:tbl>
    <w:p>
      <w:r>
        <w:rPr>
          <w:sz w:val="20"/>
        </w:rPr>
        <w:t xml:space="preserve">Работы с применением подъёмных сооружений выполняются по проекту производства работ с применением подъёмных сооружений, разрабатываемому монтажной организацией. В нём определяются стоянки кранов, схемы строповки конкретных грузов, опасные зоны, нагрузки на основания под опорами и мероприятия при работе вблизи существующих конструкций и действующих коммуникаций.</w:t>
      </w:r>
    </w:p>
    <w:p>
      <w:r>
        <w:rPr>
          <w:sz w:val="20"/>
        </w:rPr>
        <w:t xml:space="preserve">Строповка оборудования выполняется только за штатные строповочные элементы по схемам заводов-изготовителей. Схема строповки, координаты центра тяжести и допустимые точки опирания при промежуточном складировании входят в комплект поставки и являются обязательным полем опросного листа.</w:t>
      </w:r>
    </w:p>
    <w:p>
      <w:r>
        <w:rPr>
          <w:sz w:val="20"/>
        </w:rPr>
        <w:t xml:space="preserve">Подъёмные сооружения, съёмные грузозахватные приспособления и тара проходят освидетельствование в установленном порядке; персонал, выполняющий подъёмные операции, аттестуется. Смонтированные краны вводятся в работу после полного технического освидетельствования.</w:t>
      </w:r>
    </w:p>
    <w:p>
      <w:r>
        <w:rPr>
          <w:sz w:val="20"/>
        </w:rPr>
        <w:t xml:space="preserve">Монтажные нагрузки на перекрытия и площадки от временного складирования, опор оснастки и проезда техники проверяются расчётом до начала работ. Нагрузки, превышающие принятые в документе планов конструкций и фундаментов, требуют согласования с проектной организацией.</w:t>
      </w:r>
    </w:p>
    <w:p>
      <w:pPr>
        <w:pStyle w:val="Heading1"/>
      </w:pPr>
      <w:r>
        <w:rPr>
          <w:b/>
          <w:sz w:val="28"/>
        </w:rPr>
        <w:t xml:space="preserve">7. Особые требования по видам работ</w:t>
      </w:r>
    </w:p>
    <w:p>
      <w:pPr>
        <w:pStyle w:val="Heading2"/>
      </w:pPr>
      <w:r>
        <w:rPr>
          <w:b/>
          <w:sz w:val="24"/>
        </w:rPr>
        <w:t xml:space="preserve">7.1 Монтажная сварка стали 904L</w:t>
      </w:r>
    </w:p>
    <w:p>
      <w:r>
        <w:rPr>
          <w:sz w:val="20"/>
        </w:rPr>
        <w:t xml:space="preserve">Основное оборудование участка выполняется из стали 904L или согласованного аналога: исходные данные прямо исключают применение стали типа 316L для оборудования, контактирующего с горячими кислыми концентрированными сульфатными растворами. Монтажная сварка выполняется по аттестованным технологиям аттестованным персоналом; присадочные материалы — с содержанием молибдена и меди не ниже основного металла.</w:t>
      </w:r>
    </w:p>
    <w:p>
      <w:r>
        <w:rPr>
          <w:sz w:val="20"/>
        </w:rPr>
        <w:t xml:space="preserve">Объём неразрушающего контроля монтажных швов, требования к карте швов, подтверждению химического состава и стойкости к межкристаллитной коррозии по ГОСТ 6032 задаются опросными листами и техническими условиями поставки. Замена материала поставщиком без согласования является основанием для отклонения технического предложения.</w:t>
      </w:r>
    </w:p>
    <w:p>
      <w:pPr>
        <w:pStyle w:val="Heading2"/>
      </w:pPr>
      <w:r>
        <w:rPr>
          <w:b/>
          <w:sz w:val="24"/>
        </w:rPr>
        <w:t xml:space="preserve">7.2 Чистота монтажа и исключение загрязнения свободным железом</w:t>
      </w:r>
    </w:p>
    <w:p>
      <w:r>
        <w:rPr>
          <w:sz w:val="20"/>
        </w:rPr>
        <w:t xml:space="preserve">При монтаже оборудования и трубопроводов из стали 904L исключается контакт с углеродистой сталью: применяется раздельный инструмент и абразивы, предназначенные только для коррозионностойких сталей; строповка выполняется текстильными стропами либо стропами с защитными прокладками; подкладки при складировании — неметаллические или из коррозионностойкой стали.</w:t>
      </w:r>
    </w:p>
    <w:p>
      <w:r>
        <w:rPr>
          <w:sz w:val="20"/>
        </w:rPr>
        <w:t xml:space="preserve">Обоснование жёсткости требования: свободное железо и продукты коррозии переходят в продукт и нарушают норматив содержания железа в медном купоросе 0,04 % и предельную концентрацию железа в электролите 3 г/л, что напрямую влияет на качество катодной меди марки М00к.</w:t>
      </w:r>
    </w:p>
    <w:p>
      <w:pPr>
        <w:pStyle w:val="Heading2"/>
      </w:pPr>
      <w:r>
        <w:rPr>
          <w:b/>
          <w:sz w:val="24"/>
        </w:rPr>
        <w:t xml:space="preserve">7.3 Травление и пассивация зон монтажной сварки</w:t>
      </w:r>
    </w:p>
    <w:p>
      <w:r>
        <w:rPr>
          <w:sz w:val="20"/>
        </w:rPr>
        <w:t xml:space="preserve">После завершения монтажной сварки и абразивных работ выполняется удаление окалины и цветов побежалости, травление и пассивация зон сварки по методике изготовителя оборудования, с последующим контролем остаточного свободного железа и финальной водной промывкой до нейтральной реакции. Требования к качеству воды промывки определяются на стадии Базового инжиниринга.</w:t>
      </w:r>
    </w:p>
    <w:p>
      <w:r>
        <w:rPr>
          <w:sz w:val="20"/>
        </w:rPr>
        <w:t xml:space="preserve">Работы по травлению и пассивации планируются как отдельный этап монтажа: их выполнение после закрытия аппаратов теплоизоляцией и обвязкой технически затруднено, а пропуск этапа приводит к загрязнению продукта в первые же циклы работы.</w:t>
      </w:r>
    </w:p>
    <w:p>
      <w:pPr>
        <w:pStyle w:val="Heading2"/>
      </w:pPr>
      <w:r>
        <w:rPr>
          <w:b/>
          <w:sz w:val="24"/>
        </w:rPr>
        <w:t xml:space="preserve">7.4 Выверка вертикальности стояков и солевых колонн</w:t>
      </w:r>
    </w:p>
    <w:p>
      <w:r>
        <w:rPr>
          <w:sz w:val="20"/>
        </w:rPr>
        <w:t xml:space="preserve">Стояки барометрических труб длиной около 10,5 м и солевые колонны со столбом пульпы 7,0–7,9 м монтируются секциями с монтажными стыками. Выверка вертикальности обязательна по всей длине: отклонение нарушает работу барометрического затвора и гидростатический режим солевой колонны.</w:t>
      </w:r>
    </w:p>
    <w:p>
      <w:r>
        <w:rPr>
          <w:sz w:val="20"/>
        </w:rPr>
        <w:t xml:space="preserve">Уровень воды в гидрозатворе принят на отметке минус 1,5…минус 2,0 при глубине приямка 2,0–2,5 м; потребная вертикаль от уровня воды до верха конденсатора 12,5–13,0 м. Фактические отметки низа несущих конструкций покрытия подтверждаются обмерным обследованием до монтажа стояков.</w:t>
      </w:r>
    </w:p>
    <w:p>
      <w:pPr>
        <w:pStyle w:val="Heading2"/>
      </w:pPr>
      <w:r>
        <w:rPr>
          <w:b/>
          <w:sz w:val="24"/>
        </w:rPr>
        <w:t xml:space="preserve">7.5 Гидравлические испытания и учёт испытательных нагрузок</w:t>
      </w:r>
    </w:p>
    <w:p>
      <w:r>
        <w:rPr>
          <w:sz w:val="20"/>
        </w:rPr>
        <w:t xml:space="preserve">Паровые полости подогревателей испытываются пробным давлением не ниже 1,25 рабочего с температурной поправкой; вакуумные корпуса испарителей и конденсаторов рассчитываются на наружное давление и испытываются наливом с контролем плотности. Трубопроводы испытываются на прочность и плотность, вакуумный контур в сборе — по скорости падения вакуума.</w:t>
      </w:r>
    </w:p>
    <w:p>
      <w:r>
        <w:rPr>
          <w:sz w:val="20"/>
        </w:rPr>
        <w:t xml:space="preserve">Испытательные нагрузки на строительные конструкции не превышают рабочих: полный налив испарителя водой даёт 34,5 т против рабочего заполнения пульпой около 45 т. Дополнительное усиление конструкций на период испытаний не требуется.</w:t>
      </w:r>
    </w:p>
    <w:p>
      <w:pPr>
        <w:pStyle w:val="Heading2"/>
      </w:pPr>
      <w:r>
        <w:rPr>
          <w:b/>
          <w:sz w:val="24"/>
        </w:rPr>
        <w:t xml:space="preserve">7.6 Монтаж на существующих конструкциях</w:t>
      </w:r>
    </w:p>
    <w:p>
      <w:r>
        <w:rPr>
          <w:sz w:val="20"/>
        </w:rPr>
        <w:t xml:space="preserve">Установка оборудования на существующие перекрытия с отметками +5,000 и +6,000 и передача нагрузок этажерки на существующие ростверки допускаются только после поверочного расчёта по результатам обследования. Монтажные нагрузки от оснастки, временного складирования и проезда техники по существующим конструкциям включаются в тот же поверочный расчёт.</w:t>
      </w:r>
    </w:p>
    <w:p>
      <w:pPr>
        <w:pStyle w:val="Heading1"/>
      </w:pPr>
      <w:r>
        <w:rPr>
          <w:b/>
          <w:sz w:val="28"/>
        </w:rPr>
        <w:t xml:space="preserve">8. Требования монтажной технологичности к поставке</w:t>
      </w:r>
    </w:p>
    <w:p>
      <w:r>
        <w:rPr>
          <w:sz w:val="20"/>
        </w:rPr>
        <w:t xml:space="preserve">Требования монтажной технологичности закладываются в опросные листы и технические условия поставки до запроса технико-коммерческих предложений: без них масса самой тяжёлой неразъёмной части и способ подачи оборудования остаются неопределёнными до поставки, а изменение грузоподъёмности механизма или габарита монтажного проёма на поздней стадии влечёт переработку строительных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900"/>
        <w:gridCol w:w="200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004" w:type="dxa"/>
            <w:shd w:val="clear" w:fill="EFEFEF"/>
          </w:tcPr>
          <w:p>
            <w:r>
              <w:rPr>
                <w:b/>
                <w:sz w:val="15"/>
              </w:rPr>
              <w:t xml:space="preserve">Куда транслируется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транспортной и монтажной единицы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Масса каждой транспортной единицы и каждого монтажного блока с указанием единиц измерения и допускаемого отклонения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ведомость разд. 2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Масса самой тяжёлой неразъёмной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Отдельно указывается масса самой тяжёлой неразъёмной части поставки — она определяет требуемую грузоподъёмность механизма и допустимость монтажа цеховыми средствами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Координаты центра тяжести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Координаты центра тяжести транспортных и монтажных единиц в трёх осях с привязкой к габаритному чертежу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Деление на транспортабельные и монтажные блоки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Схема деления с указанием расположения монтажных стыков, требований к сборке под сварку и объёма работ, выполняемых на площадке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на изготовление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Штатные строповочные элементы и схема строповки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и расположение строповочных элементов, схема строповки, допустимые углы наклона ветвей, требования к траверсам и подкладкам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Габариты транспортных мест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Габаритные размеры транспортных мест, признак негабаритности и требования к специальной перевозке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Требования к укрупнительной сборке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Потребность и состав укрупнительной сборки на площадке, требования к стендам, оснастке и площадкам сборки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проект производства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Опорные узлы и допуски установки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Конструкция опорных узлов, схема нагрузок на опоры, допуски выверки по высоте, в плане и по вертикали, требования к подливке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задание строительной части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Упаковка, консервация и хранение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Требования к упаковке и транспортированию, в том числе к поставке в районы Крайнего Севера; сроки и условия хранения, порядок расконсервации перед монтажом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Шеф-монтаж и участие изготовителя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Объём шеф-монтажа, пусконаладки и обучения персонала, включаемый в поставку; перечень операций, выполняемых только под надзором изготовителя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Технические условия поставки; договор поставки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Монтажный инструмент и запасные части</w:t>
            </w:r>
          </w:p>
        </w:tc>
        <w:tc>
          <w:tcPr>
            <w:tcW w:w="4900" w:type="dxa"/>
          </w:tcPr>
          <w:p>
            <w:r>
              <w:rPr>
                <w:sz w:val="16"/>
              </w:rPr>
              <w:t xml:space="preserve">Специальный инструмент, оснастка и запасные части, необходимые при монтаже и первом запуске, включаемые в комплект поставки</w:t>
            </w:r>
          </w:p>
        </w:tc>
        <w:tc>
          <w:tcPr>
            <w:tcW w:w="2004" w:type="dxa"/>
          </w:tcPr>
          <w:p>
            <w:r>
              <w:rPr>
                <w:sz w:val="16"/>
              </w:rPr>
              <w:t xml:space="preserve">Опросные листы; комплект поставки</w:t>
            </w:r>
          </w:p>
        </w:tc>
      </w:tr>
    </w:tbl>
    <w:p>
      <w:r>
        <w:rPr>
          <w:sz w:val="20"/>
        </w:rPr>
        <w:t xml:space="preserve">Полученные от изготовителей значения вносятся в ведомость раздела 2 итерацией; после каждой итерации проверяются требуемая грузоподъёмность механизмов, габариты монтажных проёмов и монтажные нагрузки на строительные конструкции.</w:t>
      </w:r>
    </w:p>
    <w:p>
      <w:pPr>
        <w:pStyle w:val="Heading1"/>
      </w:pPr>
      <w:r>
        <w:rPr>
          <w:b/>
          <w:sz w:val="28"/>
        </w:rPr>
        <w:t xml:space="preserve">9. Приёмка монтажных работ и передача в пусконаладку</w:t>
      </w:r>
    </w:p>
    <w:p>
      <w:r>
        <w:rPr>
          <w:sz w:val="20"/>
        </w:rPr>
        <w:t xml:space="preserve">Приёмка ведётся поэтапно, с оформлением документов на каждом этапе. Работы, результаты которых закрываются последующими операциями, предъявляются к освидетельствованию до их закрытия.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50"/>
        <w:gridCol w:w="4550"/>
        <w:gridCol w:w="2354"/>
      </w:tblGrid>
      <w:tr>
        <w:trPr>
          <w:tblHeader/>
          <w:cantSplit/>
        </w:trPr>
        <w:tc>
          <w:tcPr>
            <w:tcW w:w="2450" w:type="dxa"/>
            <w:shd w:val="clear" w:fill="EFEFEF"/>
          </w:tcPr>
          <w:p>
            <w:r>
              <w:rPr>
                <w:b/>
                <w:sz w:val="15"/>
              </w:rPr>
              <w:t xml:space="preserve">Этап приёмки</w:t>
            </w:r>
          </w:p>
        </w:tc>
        <w:tc>
          <w:tcPr>
            <w:tcW w:w="4550" w:type="dxa"/>
            <w:shd w:val="clear" w:fill="EFEFEF"/>
          </w:tcPr>
          <w:p>
            <w:r>
              <w:rPr>
                <w:b/>
                <w:sz w:val="15"/>
              </w:rPr>
              <w:t xml:space="preserve">Что предъявляется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фундаментов под монтаж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Готовность фундаментов и опорных конструкций, положение анкерных и закладных деталей, фактические отметки и оси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передачи фундаментов под монтаж с исполнительной геодезической схемой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Освидетельствование скрытых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Подливка опорных рам, кладка футеровки, слои кислотозащиты и антикоррозионных покрытий, закладные детали, изолирующие узлы — до их закрытия последующими работами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освидетельствования скрытых работ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Приёмка сварных соединений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Журналы сварочных работ, документы об аттестации технологий и персонала, результаты неразрушающего контроля в объёме, установленном опросными листами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Заключения по контролю; исполнительные схемы швов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Выверка и закрепление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Фактическое положение оборудования по высоте, в плане и по вертикали; результаты центровки валов и контроля затяжки соединений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Исполнительные схемы установки; протоколы центровки и затяжки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Испытания в объёме монтажных работ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Испытания трубопроводов и трактов на прочность и плотность, гидравлические испытания аппаратов, контроль электроизоляции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Протоколы и акты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Индивидуальные испытания оборудования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Работа механизмов на холостом ходу, направления вращения, действие блокировок и сигнализации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Акты индивидуальных испытаний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rPr>
                <w:sz w:val="16"/>
              </w:rPr>
              <w:t xml:space="preserve">Передача оборудования в пусконаладку</w:t>
            </w:r>
          </w:p>
        </w:tc>
        <w:tc>
          <w:tcPr>
            <w:tcW w:w="4550" w:type="dxa"/>
          </w:tcPr>
          <w:p>
            <w:r>
              <w:rPr>
                <w:sz w:val="16"/>
              </w:rPr>
              <w:t xml:space="preserve">Комплектность смонтированного оборудования, устранение замечаний, комплект исполнительной документации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Акт о выполнении монтажных работ</w:t>
            </w:r>
          </w:p>
        </w:tc>
      </w:tr>
    </w:tbl>
    <w:p>
      <w:r>
        <w:rPr>
          <w:sz w:val="20"/>
        </w:rPr>
        <w:t xml:space="preserve">Комплексное опробование под нагрузкой, пусконаладочные работы и гарантийные испытания выполняются после передачи оборудования в пусконаладку; требования к ним приведены в документе выпуска по испытаниям и приёмке соответствующего лота. Исполнительная документация монтажных работ передаётся Заказчику в составе комплекта, состав которого фиксируется до начала строительно-монтажных работ.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результатов обследования либо технических предложений изготовителей. Каждая позиция закрывается до выдачи проекта производства работ и до размещения заказов на оборудование.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(опросные листы)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заводки крупногабарита в здание гидрометаллургического участка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тип монтажного механизма для подачи аппаратов — после получения масс изготовителей и результатов обмерного обследования проёмов.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Расположение монтажных стыков при поблочной поставке корпусов и объём неразрушающего контроля монтажных швов — по опросным листам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Требования к качеству воды промывки после травления и пассивации.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ОВЭ75-БИ-Л2-МТ · Требования к монтажу (включая вес самых тяжёлых частей)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ОВЭ75-БИ-Л2-МТ · Требования к монтажу (включая вес самых тяжёлых частей)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