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№3 «Отделение электроэкстракции»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Расчётные приложения к пояснительной записке</w:t>
      </w:r>
    </w:p>
    <w:p>
      <w:pPr>
        <w:spacing w:before="0" w:after="160"/>
        <w:jc w:val="center"/>
      </w:pPr>
      <w:r>
        <w:rPr>
          <w:rFonts w:ascii="Arial" w:hAnsi="Arial" w:cs="Arial"/>
          <w:color w:val="333333"/>
          <w:sz w:val="22"/>
          <w:szCs w:val="22"/>
        </w:rPr>
        <w:t xml:space="preserve">Независимый пересчёт балансов и режимов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ОВЭ75-БИ-Л3-РР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D-04 (баланс циркуляции), электрический расчёт серии.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Назначение и порядок расчётов</w:t>
      </w:r>
    </w:p>
    <w:p>
      <w:r>
        <w:rPr>
          <w:sz w:val="20"/>
        </w:rPr>
        <w:t xml:space="preserve">Независимый пересчёт КВАНТ: балансы и режимы восстановлены из первичных составов и физических констант и сверены с итогами ИД. Вердикты сверок: «сходится» — расхождение ≤1,5 %, «в допуске» — в границах допущений модели, «к уточнению» — требуется уточнение базиса у разработчика ИД. Расчёты выполнены по независимой модели КВАНТ; методика, допущения и исходные данные каждого расчёта открыты для проверки Заказчиком; методологические вопросы вынесены в предложения к документации.</w:t>
      </w:r>
    </w:p>
    <w:p>
      <w:r>
        <w:rPr>
          <w:sz w:val="20"/>
        </w:rPr>
        <w:t xml:space="preserve">Объём документа: расчётных блоков 7, сверок с исходными данными 12 (сходится 10, в допуске 1, к уточнению 1); вопросов к разработчику исходных данных (Гипроникель) — 11.</w:t>
      </w:r>
    </w:p>
    <w:p>
      <w:r>
        <w:rPr>
          <w:sz w:val="20"/>
        </w:rPr>
        <w:t xml:space="preserve">Раздел расчётных блоков включает расчёты Лота №3 «Отделение электроэкстракции» и сквозные расчёты комплекса. Вопросы к исходным данным, гарантийные показатели и оценка неопределённости приведены по комплексу в целом — они общие для лотов.</w:t>
      </w:r>
    </w:p>
    <w:p/>
    <w:p>
      <w:pPr>
        <w:pStyle w:val="Heading1"/>
      </w:pPr>
      <w:r>
        <w:rPr>
          <w:b/>
          <w:sz w:val="28"/>
        </w:rPr>
        <w:t xml:space="preserve">2. Вопросы к исходным данным по комплексу</w:t>
      </w:r>
    </w:p>
    <w:p>
      <w:r>
        <w:rPr>
          <w:b/>
          <w:sz w:val="21"/>
        </w:rPr>
        <w:t xml:space="preserve">2.1 Газовые потоки ИД — часовые максимумы (K=1,15): тракт и СКЦ проверять именно на них</w:t>
      </w:r>
    </w:p>
    <w:p>
      <w:r>
        <w:rPr>
          <w:b/>
          <w:sz w:val="20"/>
        </w:rPr>
        <w:t xml:space="preserve">Статус вопроса: к сведению. </w:t>
      </w:r>
      <w:r>
        <w:rPr>
          <w:sz w:val="20"/>
        </w:rPr>
        <w:t xml:space="preserve">Независимый пересчёт SO₂: номинал 1 880,5 нм³/ч, максимум 2 162,6 нм³/ч — совпадает с 12 129 × 17,83 % = 2 162,6 нм³/ч только при K = 1,15. Просить Гипроникель подтвердить базис часовых потоков табл. 23.</w:t>
      </w:r>
    </w:p>
    <w:p>
      <w:r>
        <w:rPr>
          <w:b/>
          <w:sz w:val="21"/>
        </w:rPr>
        <w:t xml:space="preserve">2.2 Кислород: норма расхода табл. 26 превышает балансовую потребность на ~16 %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Запросить у Гипроникеля базис нормы 37,121 млн нм³/год кислорода: коэффициент запаса к стехиометрии, принятый избыток дутья и обогащение 52 % O₂. Влияет на ТЭП (кислород — крупная статья затрат) и на выбор воздуходувки/кислородопровода.</w:t>
      </w:r>
    </w:p>
    <w:p>
      <w:r>
        <w:rPr>
          <w:b/>
          <w:sz w:val="21"/>
        </w:rPr>
        <w:t xml:space="preserve">2.3 Тепловой эффект обжига 2,378 ГДж/т — запросить расчёт (наша оценка 2,7–2,9)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От теплового эффекта зависят автогенный режим (930 °C без топлива), обогащение дутья 52 % O₂ и пар КУ. Наша термохимическая оценка по стандартным энтальпиям выше принятой в ИД на 15–20 %. Просить вещественный расчёт реакций (доли Cu₂S/Cu₅FeS₄/CuS, степень окисления Fe) — иначе гарантии по пару и топливу принимаем с оговоркой.</w:t>
      </w:r>
    </w:p>
    <w:p>
      <w:r>
        <w:rPr>
          <w:b/>
          <w:sz w:val="21"/>
        </w:rPr>
        <w:t xml:space="preserve">2.4 Электропотребление лота 1: потребители, не нормированные в ИД табл. 26, дают ≈ +56 % к учтённому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Воздуходувка дутья (≈216/409 кВт осн./вспом.), вакуум-насосы фильтрации и аспирация не нормированы в табл. 26 (ИД сам это оговаривает). Средняя нагрузка лота 1 ≈976 кВт против 625 кВт по учтённому. Кроме того, дымосос нормирован по установленной мощности (400 кВт) — базис нормирования ТЭП требует уточнения. Учесть в расчёте нагрузок и ТЭП.</w:t>
      </w:r>
    </w:p>
    <w:p>
      <w:r>
        <w:rPr>
          <w:b/>
          <w:sz w:val="21"/>
        </w:rPr>
        <w:t xml:space="preserve">2.5 Cu в медном купоросе 25,7 % &gt; теоретических 25,45 % для CuSO₄·5H₂O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Запросить базис: на какую форму/влажность дан состав 25,7 % Cu (ТЗ п. 4.2). Чистый пентагидрат содержит 25,45 % Cu; 25,7 % достижимо только при частичном обезвоживании. Это формулировка гарантийного показателя продукта — принципиально для приёмо-сдаточных испытаний лота 2.</w:t>
      </w:r>
    </w:p>
    <w:p>
      <w:r>
        <w:rPr>
          <w:b/>
          <w:sz w:val="21"/>
        </w:rPr>
        <w:t xml:space="preserve">2.6 η в ИД задан неявно (≈89 % из табл. 3.1/4.2) — запросить подтверждение</w:t>
      </w:r>
    </w:p>
    <w:p>
      <w:r>
        <w:rPr>
          <w:b/>
          <w:sz w:val="20"/>
        </w:rPr>
        <w:t xml:space="preserve">Статус вопроса: требует уточнения. </w:t>
      </w:r>
      <w:r>
        <w:rPr>
          <w:sz w:val="20"/>
        </w:rPr>
        <w:t xml:space="preserve">η в ИД задан неявно: из табл. 3.1/4.2 следует ≈89 % (49,49 кг/ч при 47,04 кА; U_в = 2,05 В при w = 1 942 кВт·ч/т). Запросить подтверждение принятого значения у Гипроникеля. Значение нужно зафиксировать как гарантийный параметр (влияет на удельный расход электроэнергии 1 942 кВт·ч/т).</w:t>
      </w:r>
    </w:p>
    <w:p>
      <w:r>
        <w:rPr>
          <w:b/>
          <w:sz w:val="21"/>
        </w:rPr>
        <w:t xml:space="preserve">2.7 Базис — новое строительство: подтверждён ТЗ v4.1 п.1.3; открыты статус Прил.№6/№7 и генплан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ТЗ v4.1 (25.08.2026, п.1.3) зафиксировало: «новое строительство объектов комплекса ОВЭ на свободной территории Промплощадки КГМК по варианту размещения, принятому Заказчиком»; пометки «(существующие здания)»/«(новое строительство)» в таблице объектов вычеркнуты (правило «зачёркнутое = исключено», 25.08) — базис един для всех лотов. Открыто: статус обмерных Прил.№6/№7 в перечне приложений и выдача «варианта размещения» (генплана) в составе ИД — без него посадка корпусов и внутриплощадочные сети в БИ не считаются. Наша компоновка нового корпуса — блок L3-NB; капитальные затраты и строительный цикл нового строительства учтены в CAPEX-оценке (блок X-NB).</w:t>
      </w:r>
    </w:p>
    <w:p>
      <w:r>
        <w:rPr>
          <w:b/>
          <w:sz w:val="21"/>
        </w:rPr>
        <w:t xml:space="preserve">2.8 Титульная производительность 75 000 т/год требует сырьевого баланса сверх ИД табл. 22 (расчётная обеспеченность ≈94 %)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Сырьё ИД табл. 22 после вычета потерь и уходов Cu со смешанным купоросом даёт ≈70,3 тыс. т к катоду; расчётная производительность ИД ч.2 — 69,25 тыс. т. Гарантийную формулировку строить двумя строками: «мощность оборудования — 75 000 т/год; годовой выпуск при сырье по ИД табл. 22 — 69,3 тыс. т ±1 %». Спросить Заказчика, планируется ли дозагрузка сырьём сверх ИД.</w:t>
      </w:r>
    </w:p>
    <w:p>
      <w:r>
        <w:rPr>
          <w:b/>
          <w:sz w:val="21"/>
        </w:rPr>
        <w:t xml:space="preserve">2.9 Кислотная точка росы газов ≈218/210 °C — заложить требования к стенкам тракта (≥240 °C) и продувке при остановках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SO₃ 0,72 % даёт высокую точку росы. В БИ включить: тепловую изоляцию с контролем холодных мостов, обогрев бункеров ЭФ, регламент продувки при остановках, материал узлов подсосов. Это гарантийный фактор межремонтного пробега газового тракта.</w:t>
      </w:r>
    </w:p>
    <w:p>
      <w:r>
        <w:rPr>
          <w:b/>
          <w:sz w:val="21"/>
        </w:rPr>
        <w:t xml:space="preserve">2.10 Габарит печи КС найден в ИД ч.1 (стр. 417): конус Ø6000→8390 (полный угол 21°), 583 сопла — модель и CFD-кейс обновлены</w:t>
      </w:r>
    </w:p>
    <w:p>
      <w:r>
        <w:rPr>
          <w:b/>
          <w:sz w:val="20"/>
        </w:rPr>
        <w:t xml:space="preserve">Статус вопроса: к сведению. </w:t>
      </w:r>
      <w:r>
        <w:rPr>
          <w:sz w:val="20"/>
        </w:rPr>
        <w:t xml:space="preserve">Ранее запрашивали табл. 24/25 — не требуется: геометрия есть в тексте разд. 2.3. Наша проверка с уклоном 0,18527 на сторону: слой ~2,2 м, напряжённость по зеркалу ≈8,9 т/(м²·сут) — выше диапазона мировой практики 4–8; запас площади пода — вопрос Гипроникелю (см. L1-BED). Для CFD остаётся запросить: живое сечение решётки (диаметр отверстий сопел) и отметку ввода шнекового забрасывателя.</w:t>
      </w:r>
    </w:p>
    <w:p>
      <w:r>
        <w:rPr>
          <w:b/>
          <w:sz w:val="21"/>
        </w:rPr>
        <w:t xml:space="preserve">2.11 Хлор в электролите 25–30 г/м³ — на пределе стойкости матриц 316L (кампания 6 лет под риском)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Практика EW: питтинг нержавеющих основ ускоряется при Cl⁻ выше ~25–30 мг/л. ИД задаёт фон 25–30 г/м³ и кампанию матриц 6 лет одновременно — гарантировать обе цифры сразу рискованно. Консервативно: кампания 6 лет гарантируется при Cl⁻ ≤25 г/м³ и регламенте промывки кромок; при 30 г/м³ — кампания «по фактическому состоянию». Зафиксировать в гарантийной рамке.</w:t>
      </w:r>
    </w:p>
    <w:p/>
    <w:p>
      <w:pPr>
        <w:pStyle w:val="Heading1"/>
      </w:pPr>
      <w:r>
        <w:rPr>
          <w:b/>
          <w:sz w:val="28"/>
        </w:rPr>
        <w:t xml:space="preserve">3. Гарантийные показатели комплекса: предлагаемые значения</w:t>
      </w:r>
    </w:p>
    <w:p>
      <w:r>
        <w:rPr>
          <w:sz w:val="20"/>
        </w:rPr>
        <w:t xml:space="preserve">Гарантийные значения приняты с запасом к расчётным и действуют при подтверждённых характеристиках сырья и данных изготовителей. Расчётные значения приведены справочно; окончательные гарантии фиксируются по итогам согласования исходных данных и получения технических предложений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3200"/>
        <w:gridCol w:w="32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Показатель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9"/>
              </w:rPr>
              <w:t xml:space="preserve">Расчёт / исходные данные</w:t>
            </w:r>
          </w:p>
        </w:tc>
        <w:tc>
          <w:tcPr>
            <w:tcW w:w="3254" w:type="dxa"/>
            <w:shd w:val="clear" w:fill="EFEFEF"/>
          </w:tcPr>
          <w:p>
            <w:r>
              <w:rPr>
                <w:b/>
                <w:sz w:val="19"/>
              </w:rPr>
              <w:t xml:space="preserve">Предлагаемое гарантийное значение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Производительность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мощность 75 000 т/год (280 А/м² → 76,7); сырьё ИД → 69,25 тыс. т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мощность оборудования 75 000 т/год; годовой выпуск при сырье ИД табл. 22 — 69 300 т ±1 %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Качество катодов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М00к, примеси с запасом (S 0,0006 %, Pb 0,00004 %)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М00к по ГОСТ 859-2014 ПРИ порогах примесей богатого раствора по ИД табл. 1.1/5.8 (условная гарантия на сырьё)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Удельный расход электроэнергии ЭЭ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1 942 кВт·ч/т (расчёт при η=89 %)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≤2 050 кВт·ч/т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Выход по току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≈89 % (из ИД табл. 3.1/4.2, задан неявно)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≥88 % (проектное значение по ИД ≈89 %; повышение до ≥90 % — только после письменного подтверждения η Гипроникелем)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Сера в огарке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0,051 % (расчёт ИД)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≤0,10 %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Запылённость газа на СКЦ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0,1 г/нм³ при η_ЭФ 99,69 %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≤0,1 г/нм³ при η_ЭФ 99,69 % по vendor data (паспортный порог изготовителя ≥96 % сам по себе даёт лишь 0,8–1,4 г/нм³ — до закрытия D-09 значение 0,1 обусловлено расчётной η)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SO₂ на СКЦ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15,59 / 9,49 % (осн./вспом.)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диапазон 9–17 % по режимам (верх накрывает P90 = 16,6 % собственного Монте-Карло; драйвер — подсосы тракта); стабильность ±1,5 % абс. за 15 мин — контуром АСУ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Пар КУ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4,10 / 6,48 т/ч (энтальпийно сходится)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справочно 4,1/6,5 т/ч; жёсткая гарантия ≥3,6 т/ч (осн.) — только после подтверждения теплового расчёта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Мазут М-100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468 / 2 844 т/год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≤520 (осн.) / ≤3 100 (вспом.) т/год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Кислород технический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520,9 нм³/т (норма ИД)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≤560 нм³/т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Температуры газового тракта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точка росы 218/210 °C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газ на СКЦ 387 ±15 °C; стенки тракта ≥240 °C; продувка при остановках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Медный купорос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25,7 % Cu (выше стехиометрии пентагидрата)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Cu ≥25,0 % (сухой), влажность ≤6 %, крупность ≤2 мм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Кампания матриц / анодов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6 лет / 5–7 лет при Cl 25–30 г/м³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матрицы 6 лет при Cl⁻ ≤25 г/м³ и регламенте промывки; аноды 5 лет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КИО ванн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98 % (чистка ≤1 раз/год)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≥97 %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Электропотребление лота 1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7,7 млн кВт·ч/год с досчётом (ИД: 4,95)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закладывать в ТЭП 7,7 млн кВт·ч/год; в ТУ — среднюю 1,0 МВт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АСУТП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1,7–2,4 тыс. сигналов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запас модулей в/в ≥30 %, резерв контроллеров ≥20 %</w:t>
            </w:r>
          </w:p>
        </w:tc>
      </w:tr>
    </w:tbl>
    <w:p/>
    <w:p>
      <w:pPr>
        <w:pStyle w:val="Heading1"/>
      </w:pPr>
      <w:r>
        <w:rPr>
          <w:b/>
          <w:sz w:val="28"/>
        </w:rPr>
        <w:t xml:space="preserve">4. Оценка неопределённости показателей комплекса (метод Монте-Карло, 20 000 прогонов)</w:t>
      </w:r>
    </w:p>
    <w:p>
      <w:r>
        <w:rPr>
          <w:sz w:val="20"/>
        </w:rPr>
        <w:t xml:space="preserve">Доверительные интервалы P10–P90 и рейтинг чувствительности (Спирмен) по 20 000 прогонам модели. Колонка «что уточнять» — какая единица данных схлопывает интервал.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1170"/>
        <w:gridCol w:w="1170"/>
        <w:gridCol w:w="1170"/>
        <w:gridCol w:w="1070"/>
        <w:gridCol w:w="2174"/>
      </w:tblGrid>
      <w:tr>
        <w:trPr>
          <w:tblHeader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Показатель</w:t>
            </w:r>
          </w:p>
        </w:tc>
        <w:tc>
          <w:tcPr>
            <w:tcW w:w="1170" w:type="dxa"/>
            <w:shd w:val="clear" w:fill="EFEFEF"/>
          </w:tcPr>
          <w:p>
            <w:r>
              <w:rPr>
                <w:b/>
                <w:sz w:val="19"/>
              </w:rPr>
              <w:t xml:space="preserve">P10</w:t>
            </w:r>
          </w:p>
        </w:tc>
        <w:tc>
          <w:tcPr>
            <w:tcW w:w="1170" w:type="dxa"/>
            <w:shd w:val="clear" w:fill="EFEFEF"/>
          </w:tcPr>
          <w:p>
            <w:r>
              <w:rPr>
                <w:b/>
                <w:sz w:val="19"/>
              </w:rPr>
              <w:t xml:space="preserve">P50</w:t>
            </w:r>
          </w:p>
        </w:tc>
        <w:tc>
          <w:tcPr>
            <w:tcW w:w="1170" w:type="dxa"/>
            <w:shd w:val="clear" w:fill="EFEFEF"/>
          </w:tcPr>
          <w:p>
            <w:r>
              <w:rPr>
                <w:b/>
                <w:sz w:val="19"/>
              </w:rPr>
              <w:t xml:space="preserve">P90</w:t>
            </w:r>
          </w:p>
        </w:tc>
        <w:tc>
          <w:tcPr>
            <w:tcW w:w="1070" w:type="dxa"/>
            <w:shd w:val="clear" w:fill="EFEFEF"/>
          </w:tcPr>
          <w:p>
            <w:r>
              <w:rPr>
                <w:b/>
                <w:sz w:val="19"/>
              </w:rPr>
              <w:t xml:space="preserve">Размах</w:t>
            </w:r>
          </w:p>
        </w:tc>
        <w:tc>
          <w:tcPr>
            <w:tcW w:w="2174" w:type="dxa"/>
            <w:shd w:val="clear" w:fill="EFEFEF"/>
          </w:tcPr>
          <w:p>
            <w:r>
              <w:rPr>
                <w:b/>
                <w:sz w:val="19"/>
              </w:rPr>
              <w:t xml:space="preserve">Что уточнять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Катодная медь, т/год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68 717</w:t>
            </w:r>
          </w:p>
        </w:tc>
        <w:tc>
          <w:tcPr>
            <w:tcW w:w="1170" w:type="dxa"/>
          </w:tcPr>
          <w:p>
            <w:r>
              <w:rPr>
                <w:b/>
                <w:sz w:val="19"/>
              </w:rPr>
              <w:t xml:space="preserve">70 178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71 669</w:t>
            </w:r>
          </w:p>
        </w:tc>
        <w:tc>
          <w:tcPr>
            <w:tcW w:w="1070" w:type="dxa"/>
          </w:tcPr>
          <w:p>
            <w:r>
              <w:rPr>
                <w:sz w:val="19"/>
              </w:rPr>
              <w:t xml:space="preserve">4,2 %</w:t>
            </w:r>
          </w:p>
        </w:tc>
        <w:tc>
          <w:tcPr>
            <w:tcW w:w="2174" w:type="dxa"/>
          </w:tcPr>
          <w:p>
            <w:r>
              <w:rPr>
                <w:sz w:val="18"/>
              </w:rPr>
              <w:t xml:space="preserve">паспорта/планы поставок сырья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Пар КУ, т/ч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4,13</w:t>
            </w:r>
          </w:p>
        </w:tc>
        <w:tc>
          <w:tcPr>
            <w:tcW w:w="1170" w:type="dxa"/>
          </w:tcPr>
          <w:p>
            <w:r>
              <w:rPr>
                <w:b/>
                <w:sz w:val="19"/>
              </w:rPr>
              <w:t xml:space="preserve">4,55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5,00</w:t>
            </w:r>
          </w:p>
        </w:tc>
        <w:tc>
          <w:tcPr>
            <w:tcW w:w="1070" w:type="dxa"/>
          </w:tcPr>
          <w:p>
            <w:r>
              <w:rPr>
                <w:sz w:val="19"/>
              </w:rPr>
              <w:t xml:space="preserve">19,2 %</w:t>
            </w:r>
          </w:p>
        </w:tc>
        <w:tc>
          <w:tcPr>
            <w:tcW w:w="2174" w:type="dxa"/>
          </w:tcPr>
          <w:p>
            <w:r>
              <w:rPr>
                <w:sz w:val="18"/>
              </w:rPr>
              <w:t xml:space="preserve">расчёт теплового эффекта Гипроникеля (п.3 раздела 1)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SO₂ на СКЦ (номинал), %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14,7</w:t>
            </w:r>
          </w:p>
        </w:tc>
        <w:tc>
          <w:tcPr>
            <w:tcW w:w="1170" w:type="dxa"/>
          </w:tcPr>
          <w:p>
            <w:r>
              <w:rPr>
                <w:b/>
                <w:sz w:val="19"/>
              </w:rPr>
              <w:t xml:space="preserve">15,6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16,6</w:t>
            </w:r>
          </w:p>
        </w:tc>
        <w:tc>
          <w:tcPr>
            <w:tcW w:w="1070" w:type="dxa"/>
          </w:tcPr>
          <w:p>
            <w:r>
              <w:rPr>
                <w:sz w:val="19"/>
              </w:rPr>
              <w:t xml:space="preserve">11,8 %</w:t>
            </w:r>
          </w:p>
        </w:tc>
        <w:tc>
          <w:tcPr>
            <w:tcW w:w="2174" w:type="dxa"/>
          </w:tcPr>
          <w:p>
            <w:r>
              <w:rPr>
                <w:sz w:val="18"/>
              </w:rPr>
              <w:t xml:space="preserve">стабильность шихтовки и подсосов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Электрика лота 1, млн кВт·ч/год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7,05</w:t>
            </w:r>
          </w:p>
        </w:tc>
        <w:tc>
          <w:tcPr>
            <w:tcW w:w="1170" w:type="dxa"/>
          </w:tcPr>
          <w:p>
            <w:r>
              <w:rPr>
                <w:b/>
                <w:sz w:val="19"/>
              </w:rPr>
              <w:t xml:space="preserve">7,79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8,55</w:t>
            </w:r>
          </w:p>
        </w:tc>
        <w:tc>
          <w:tcPr>
            <w:tcW w:w="1070" w:type="dxa"/>
          </w:tcPr>
          <w:p>
            <w:r>
              <w:rPr>
                <w:sz w:val="19"/>
              </w:rPr>
              <w:t xml:space="preserve">19,2 %</w:t>
            </w:r>
          </w:p>
        </w:tc>
        <w:tc>
          <w:tcPr>
            <w:tcW w:w="2174" w:type="dxa"/>
          </w:tcPr>
          <w:p>
            <w:r>
              <w:rPr>
                <w:sz w:val="18"/>
              </w:rPr>
              <w:t xml:space="preserve">опросные листы воздуходувки/вакуума (п.4 раздела 1)</w:t>
            </w:r>
          </w:p>
        </w:tc>
      </w:tr>
    </w:tbl>
    <w:p/>
    <w:p>
      <w:pPr>
        <w:pStyle w:val="Heading1"/>
      </w:pPr>
      <w:r>
        <w:rPr>
          <w:b/>
          <w:sz w:val="28"/>
        </w:rPr>
        <w:t xml:space="preserve">5. Расчётные блоки и сверки с исходными данными</w:t>
      </w:r>
    </w:p>
    <w:p>
      <w:pPr>
        <w:pStyle w:val="Heading2"/>
      </w:pPr>
      <w:r>
        <w:rPr>
          <w:b/>
          <w:sz w:val="26"/>
        </w:rPr>
        <w:t xml:space="preserve">5.1 Электроэкстракция: закон Фарадея, ток, напряжение, мощность. Лот №3 «Отделение электроэкстракции». Блок L3-FARADEY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Производительность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8 066,1 кг/ч; 75 000 т/год номинал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Ванны и катоды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180 ванн (2×90); 84 матрицы/ванну ≈ 1,0×1,0 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п. 4.2.2, п. 1.3.9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Удельный расход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1 942 кВт·ч/т (134 484 тыс. кВт·ч/год)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Выход по току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η = 89 % (из ИД: 49,49 кг/ч при 47,04 кА; U_в = 2,05 В при w = 1 942 кВт·ч/т)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3.1/4.2 (задан неявно) — см. п.6 раздела 1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Электрохимический эквивалент:  </w:t>
      </w:r>
      <w:r>
        <w:rPr>
          <w:sz w:val="20"/>
        </w:rPr>
        <w:t xml:space="preserve">63,546 / (2 × 96 485) × 3600 = 1,1856 г/(А·ч)</w:t>
      </w:r>
    </w:p>
    <w:p>
      <w:r>
        <w:rPr>
          <w:b/>
          <w:sz w:val="20"/>
        </w:rPr>
        <w:t xml:space="preserve">Ток ванны:  </w:t>
      </w:r>
      <w:r>
        <w:rPr>
          <w:sz w:val="20"/>
        </w:rPr>
        <w:t xml:space="preserve">8 066 100 / 180 / (1,1856 × 0,89) ≈ 42 450 А (42,45 кА)</w:t>
      </w:r>
    </w:p>
    <w:p>
      <w:r>
        <w:rPr>
          <w:b/>
          <w:sz w:val="20"/>
        </w:rPr>
        <w:t xml:space="preserve">Катодная плотность тока:  </w:t>
      </w:r>
      <w:r>
        <w:rPr>
          <w:sz w:val="20"/>
        </w:rPr>
        <w:t xml:space="preserve">42 450 / (84 × 2 × 1,0 м²) = 252,7 А/м²</w:t>
      </w:r>
    </w:p>
    <w:p>
      <w:r>
        <w:rPr>
          <w:b/>
          <w:sz w:val="20"/>
        </w:rPr>
        <w:t xml:space="preserve">Напряжение ванны из удельного расхода:  </w:t>
      </w:r>
      <w:r>
        <w:rPr>
          <w:sz w:val="20"/>
        </w:rPr>
        <w:t xml:space="preserve">1 942 × 1,1856·10⁻³ × 0,89 = 2,05 В</w:t>
      </w:r>
    </w:p>
    <w:p>
      <w:r>
        <w:rPr>
          <w:b/>
          <w:sz w:val="20"/>
        </w:rPr>
        <w:t xml:space="preserve">Мощность серий:  </w:t>
      </w:r>
      <w:r>
        <w:rPr>
          <w:sz w:val="20"/>
        </w:rPr>
        <w:t xml:space="preserve">134 484 / 8 584,8 = 15,67 МВт (ср.); ток из мощности: ≈42 450 А</w:t>
      </w:r>
    </w:p>
    <w:p>
      <w:r>
        <w:rPr>
          <w:b/>
          <w:sz w:val="20"/>
        </w:rPr>
        <w:t xml:space="preserve">Проверка «280 А/м²»:  </w:t>
      </w:r>
      <w:r>
        <w:rPr>
          <w:sz w:val="20"/>
        </w:rPr>
        <w:t xml:space="preserve">280 А/м² × 168 м² × 180 ванн × 1,1856 × 0,89 × 8 584,8 ч → 76,7 тыс. т/год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Ток ванны: Фарадей vs мощность/напряжение, А — два независимых пути дают один ток серии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42 450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42 454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Максимум при 280 А/м², тыс. т/год — при η = 89 % и фонде 8 584,8 ч — совпадение с ИД табл. 4.2 точное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76,7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76,7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Напряжение ванны, В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2,05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2,10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-2,42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Электрохимия самосогласована при η = 89 %, заданном в ИД неявно (49,49 кг/ч при 47,04 кА; U_в = 2,05 В при w = 1 942 кВт·ч/т): ток ванны ≈42,45 кА (плотность 252,7 А/м²), напряжение 2,05 В, мощность выпрямления ≈15,7 МВт (ср.). Проверка при 280 А/м² и фонде 8 584,8 ч даёт 76,7 тыс. т/год — точное совпадение с ИД табл. 4.2. Подтверждение η запросить у Гипроникеля (см. п.6 раздела 1).</w:t>
      </w:r>
    </w:p>
    <w:p/>
    <w:p>
      <w:pPr>
        <w:pStyle w:val="Heading2"/>
      </w:pPr>
      <w:r>
        <w:rPr>
          <w:b/>
          <w:sz w:val="26"/>
        </w:rPr>
        <w:t xml:space="preserve">5.2 Контур растворов: смешение и съём меди. Лот №3 «Отделение электроэкстракции». Блок L3-MIX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Богатый фильтрат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102,9 кг/м³ Cu; отсечка в контур 124,7 м³/ч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4.1; ИД ч.2 табл. 3.1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Оборотный (бедный)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35 кг/м³ Cu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5.1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Питание ванн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40 кг/м³ (съём 5 кг/м³); поток 1 600–1 650 м³/ч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Поток питания из уравнения смешения:  </w:t>
      </w:r>
      <w:r>
        <w:rPr>
          <w:sz w:val="20"/>
        </w:rPr>
        <w:t xml:space="preserve">124,7 × (102,9 − 35) / (40 − 35) = 1 693 м³/ч</w:t>
      </w:r>
    </w:p>
    <w:p>
      <w:r>
        <w:rPr>
          <w:b/>
          <w:sz w:val="20"/>
        </w:rPr>
        <w:t xml:space="preserve">Медь съёмом:  </w:t>
      </w:r>
      <w:r>
        <w:rPr>
          <w:sz w:val="20"/>
        </w:rPr>
        <w:t xml:space="preserve">5,0 × 1 634,5 × 8 584,8 ч = 70 159 т/год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Поток питания серий, м³/ч — сходится в середину диапазона с учётом подпитки купоросным раствором 3,2–3,5 м³/ч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1 693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1 625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+4,21</w:t>
            </w:r>
          </w:p>
        </w:tc>
        <w:tc>
          <w:tcPr>
            <w:tcW w:w="1504" w:type="dxa"/>
          </w:tcPr>
          <w:p>
            <w:r>
              <w:rPr>
                <w:b/>
                <w:color w:val="B8860B"/>
                <w:sz w:val="19"/>
              </w:rPr>
              <w:t xml:space="preserve">в допуске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Производительность по съёму,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70 159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69 250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+1,31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Гидравлика контура и электрохимия согласованы: уравнение смешения независимо воспроизводит поток питания 1,6–1,65 тыс. м³/ч, съём 5 кг/м³ — расчётную производительность. Подтверждаем правильность выбора 180 ванн (163 расчётно × 1,10 = 179,3).</w:t>
      </w:r>
    </w:p>
    <w:p/>
    <w:p>
      <w:pPr>
        <w:pStyle w:val="Heading2"/>
      </w:pPr>
      <w:r>
        <w:rPr>
          <w:b/>
          <w:sz w:val="26"/>
        </w:rPr>
        <w:t xml:space="preserve">5.3 Новый корпус электроэкстракции: компоновка расчётом (сценарий «новое строительство»). Лот №3 «Отделение электроэкстракции». Блок L3-NB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Базис размещения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новое строительство на свободной территории (ТЗ v4.1 п.1.3 от 25.08.2026)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 п.1.3; остаточное противоречие внутри v4.1 — см. п.7 раздела 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Ванны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180 шт. (2 серии × 90, ряды по 45); 84 катода/ванну, шаг 95 мм (прил. В ДЕЛЬТА)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п. 4.2.2, п. 1.3.9; прил. В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Кран и отметки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мостовые краны над ваннами; подъём матрицы ≈1,3 м + траверса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практика tankhouse; ИД ч.2 (КСМ)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Ванна в плане:  </w:t>
      </w:r>
      <w:r>
        <w:rPr>
          <w:sz w:val="20"/>
        </w:rPr>
        <w:t xml:space="preserve">8,645 × 1,315 м (ДЕЛЬТА, прил. В)</w:t>
      </w:r>
    </w:p>
    <w:p>
      <w:r>
        <w:rPr>
          <w:b/>
          <w:sz w:val="20"/>
        </w:rPr>
        <w:t xml:space="preserve">Ряд из 45 ванн:  </w:t>
      </w:r>
      <w:r>
        <w:rPr>
          <w:sz w:val="20"/>
        </w:rPr>
        <w:t xml:space="preserve">44 × 1,40 + 1,32 = 62,9 м ≈ 63 м</w:t>
      </w:r>
    </w:p>
    <w:p>
      <w:r>
        <w:rPr>
          <w:b/>
          <w:sz w:val="20"/>
        </w:rPr>
        <w:t xml:space="preserve">Корпус:  </w:t>
      </w:r>
      <w:r>
        <w:rPr>
          <w:sz w:val="20"/>
        </w:rPr>
        <w:t xml:space="preserve">36 × 190 × 17 м (2 пролёта по 18 м; 2 серии последовательно: 2 × 63 + КСМ 30 + ремзона 20 = 176 м &lt; 190 м — увеличенный резерв)</w:t>
      </w:r>
    </w:p>
    <w:p>
      <w:r>
        <w:rPr>
          <w:b/>
          <w:sz w:val="20"/>
        </w:rPr>
        <w:t xml:space="preserve">Объёмы:  </w:t>
      </w:r>
      <w:r>
        <w:rPr>
          <w:sz w:val="20"/>
        </w:rPr>
        <w:t xml:space="preserve">корпус ЭЭ 116 + электролитное 12 + купорос 16 + склад ГП 32 = 177 тыс. м³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Длина корпуса vs существующий ЦЭМ (186 м), м — новый корпус того же порядка — компоновочная логика ИД сохраняется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189,5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186,0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+1,88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Кубатура ЭЭ на тонну мощности, м³/т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1,71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1,90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-10,13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Новый корпус ЭЭ 36 × 190 м с высотой до низа ферм ~16 м вмещает 180 ванн в две последовательные серии с зоной КСМ и ремзоной — газоочистка, аспирация и электролитное отделение в пристрое. Посадка на генплан, привязка к сетям и полные строительные нагрузки нового корпуса — добавляются в состав БИ (сценарий «новое строительство»).</w:t>
      </w:r>
    </w:p>
    <w:p/>
    <w:p>
      <w:pPr>
        <w:pStyle w:val="Heading2"/>
      </w:pPr>
      <w:r>
        <w:rPr>
          <w:b/>
          <w:sz w:val="26"/>
        </w:rPr>
        <w:t xml:space="preserve">5.4 Стоимость нового строительства (базис ТЗ v4.1 п.1.3). Комплекс в целом. Блок X-NB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Объёмы L3-NB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ЭЭ+электролитное 128 тыс. м³; купорос 16; склад 32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L3-NB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Удельники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45–65 тыс. ₽/м³ (промкаркас, V снеговой район, сети в здании); ЭЭ ×1,15 (кислотостойкие полы и фундаменты ванн); склад 40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КВАНТ Class 5 по аналогам 2025–2026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Корпус ЭЭ с электролитным:  </w:t>
      </w:r>
      <w:r>
        <w:rPr>
          <w:sz w:val="20"/>
        </w:rPr>
        <w:t xml:space="preserve">6,6–9,6 млрд ₽ (середина 8,1)</w:t>
      </w:r>
    </w:p>
    <w:p>
      <w:r>
        <w:rPr>
          <w:b/>
          <w:sz w:val="20"/>
        </w:rPr>
        <w:t xml:space="preserve">Купорос / склад ГП:  </w:t>
      </w:r>
      <w:r>
        <w:rPr>
          <w:sz w:val="20"/>
        </w:rPr>
        <w:t xml:space="preserve">0,9 / 1,3 млрд ₽</w:t>
      </w:r>
    </w:p>
    <w:p>
      <w:r>
        <w:rPr>
          <w:b/>
          <w:sz w:val="20"/>
        </w:rPr>
        <w:t xml:space="preserve">Итого новые здания лотов 2–4:  </w:t>
      </w:r>
      <w:r>
        <w:rPr>
          <w:sz w:val="20"/>
        </w:rPr>
        <w:t xml:space="preserve">≈10,3 млрд ₽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Удельная стоимость новых зданий лотов 2–4 (Class 5), тыс. ₽/м³ — к середине диапазона аналогов 45–65 — средневзвешенный удельник (10,3 млрд ₽ / 176 тыс. м³) в границах диапазона аналогов; уточняется бюджетными ТКП и сметой на стадии БИ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58,5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55,0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+6,4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Базис нового строительства (ТЗ v4.1 п.1.3) учтён в CAPEX: новые здания лотов 2–4 ≈10,3 млрд ₽ (сверх корпуса обжига, который и в ТЗ был новым), строительный цикл ~18–24 месяца. Строка CAPEX «реконструкция ЦЭМ/ГМУ» заменена на три строки нового строительства.</w:t>
      </w:r>
    </w:p>
    <w:p/>
    <w:p>
      <w:pPr>
        <w:pStyle w:val="Heading2"/>
      </w:pPr>
      <w:r>
        <w:rPr>
          <w:b/>
          <w:sz w:val="26"/>
        </w:rPr>
        <w:t xml:space="preserve">5.5 Сводная электрическая нагрузка комплекса (для ТУ). Комплекс в целом. Блок EL-TOTAL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Составляющие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Лот 1 (обжиг): ср, 0,98 МВт; Лот 2 (купорос): ср, 0,19 МВт; Лот 3 (ЭЭ: выпрямление + вспом,): ср, 16,07 МВт; Лот 4 (склад): ср, 0,08 МВт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26, табл. 8.5 + досчёты КВАНТ (L1-EL, L3-FARADEY)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Средняя нагрузка комплекса:  </w:t>
      </w:r>
      <w:r>
        <w:rPr>
          <w:sz w:val="20"/>
        </w:rPr>
        <w:t xml:space="preserve">17,3 МВт</w:t>
      </w:r>
    </w:p>
    <w:p>
      <w:r>
        <w:rPr>
          <w:b/>
          <w:sz w:val="20"/>
        </w:rPr>
        <w:t xml:space="preserve">Установленная (оценка с резервами):  </w:t>
      </w:r>
      <w:r>
        <w:rPr>
          <w:sz w:val="20"/>
        </w:rPr>
        <w:t xml:space="preserve">≈21 МВт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Средняя нагрузка, МВт — для запроса ТУ у сетевой организации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17,3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17,0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+1,83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Для запроса ТУ: средняя нагрузка ≈17.3 МВт, установленная ≈21 МВт, доминанта — выпрямители электроэкстракции (I категория надёжности; окно отключений ≤ 2 ч из-за пассивации анодов). Разбивку по категориям ПУЭ выдаём в составе БИ.</w:t>
      </w:r>
    </w:p>
    <w:p/>
    <w:p>
      <w:pPr>
        <w:pStyle w:val="Heading2"/>
      </w:pPr>
      <w:r>
        <w:rPr>
          <w:b/>
          <w:sz w:val="26"/>
        </w:rPr>
        <w:t xml:space="preserve">5.6 Укрупнённый объём сигналов АСУТП (для выбора контроллеров). Комплекс в целом. Блок IO-TOTAL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База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перечень оборудования БИ (70 позиций) × типовые наборы сигналов на агрегат/контур + 30 % запас (Прил.5)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перечень оборудования БИ; Прил. №5 (запас модулей ввода/вывода ≥30 %)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По лотам:  </w:t>
      </w:r>
      <w:r>
        <w:rPr>
          <w:sz w:val="20"/>
        </w:rPr>
        <w:t xml:space="preserve">Лот 1: 700–1000; Лот 2: 350–500; Лот 3: 450–650; Лот 4: 200–300</w:t>
      </w:r>
    </w:p>
    <w:p>
      <w:r>
        <w:rPr>
          <w:b/>
          <w:sz w:val="20"/>
        </w:rPr>
        <w:t xml:space="preserve">Итого по комплексу:  </w:t>
      </w:r>
      <w:r>
        <w:rPr>
          <w:sz w:val="20"/>
        </w:rPr>
        <w:t xml:space="preserve">1700–2450 физических сигналов (с запасом 30 %)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Порядок величины I/O — 8–12 крейтов REGUL RX00; уточняется перечнями сигналов на детальном этапе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2 075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2 000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+3,75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Порядок 1,7–2,4 тыс. сигналов задаёт состав КТС (контроллеры, станции в/в, серверы SCADA) и бюджет АСУ в Class 3 оценке. Детальный I/O list — этап детального инжиниринга.</w:t>
      </w:r>
    </w:p>
    <w:p/>
    <w:p>
      <w:pPr>
        <w:pStyle w:val="Heading2"/>
      </w:pPr>
      <w:r>
        <w:rPr>
          <w:b/>
          <w:sz w:val="26"/>
        </w:rPr>
        <w:t xml:space="preserve">5.7 Сквозной баланс меди: сырьё лота 1 → катодная медь лота 3. Комплекс в целом. Блок X-CU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Приход Cu в шихту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71 264,3 т/год (наш L1-MET)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КВАНТ по ИД табл. 22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Уходы мимо катода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потери 0,47 % · смешанный купорос (9,79 % Cu → NNH) · маточник-2 (в ЦЭН)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22; ТЗ п. 4.2; ИД ч.2 п. 1.4.2.2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Расчётная катодная ИД ч.2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8 066,1 кг/ч × 8 584,8 ч = 69 246 т/год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Доступно к катоду:  </w:t>
      </w:r>
      <w:r>
        <w:rPr>
          <w:sz w:val="20"/>
        </w:rPr>
        <w:t xml:space="preserve">71 264,3 − 334,7 − 651,8 − 26,1 = 70 251,7 т/год</w:t>
      </w:r>
    </w:p>
    <w:p>
      <w:r>
        <w:rPr>
          <w:b/>
          <w:sz w:val="20"/>
        </w:rPr>
        <w:t xml:space="preserve">Дефицит к «75 000 т/год»:  </w:t>
      </w:r>
      <w:r>
        <w:rPr>
          <w:sz w:val="20"/>
        </w:rPr>
        <w:t xml:space="preserve">75 000 − 70 251,7 = 4 748,3 т (6,3 %)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Доступная медь vs расчётная катодная ИД ч.2, т/год — остаток 1,45 % — оборотная незавершёнка и неучтённые эффекты (потери ГМЦ 0,10 % уже входят в вычтенные 0,47 % и второй раз не считаются)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70 252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69 246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+1,45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Обеспеченность «75 000 т/год» сырьём, % — сырьё ИД покрывает ≈93,7 % заявленной мощности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93,7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100,0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-6,33</w:t>
            </w:r>
          </w:p>
        </w:tc>
        <w:tc>
          <w:tcPr>
            <w:tcW w:w="1504" w:type="dxa"/>
          </w:tcPr>
          <w:p>
            <w:r>
              <w:rPr>
                <w:b/>
                <w:color w:val="B22222"/>
                <w:sz w:val="19"/>
              </w:rPr>
              <w:t xml:space="preserve">к уточнению</w:t>
            </w:r>
          </w:p>
        </w:tc>
      </w:tr>
    </w:tbl>
    <w:p>
      <w:r>
        <w:rPr>
          <w:b/>
        </w:rPr>
        <w:t xml:space="preserve">Вывод: </w:t>
      </w:r>
      <w:r>
        <w:t xml:space="preserve">Сквозной баланс замыкается на расчётную производительность ИД ч.2 (69,25 тыс. т) с невязкой 1,45 % — данные согласованы. Но заявленные «75 000 т/год» — это МОЩНОСТЬ оборудования (280 А/м² → 76,7 тыс. т), а не выпуск: заявленное сырьё обеспечивает ~69–70 тыс. т катодной меди. В гарантиях это обязательно разделить, иначе с нас спросят 75 000 при сырье на 69.</w:t>
      </w:r>
    </w:p>
    <w:p/>
    <w:p>
      <w:pPr>
        <w:pStyle w:val="Heading1"/>
      </w:pPr>
      <w:r>
        <w:rPr>
          <w:b/>
          <w:sz w:val="28"/>
        </w:rPr>
        <w:t xml:space="preserve">Открытые позиции</w:t>
      </w:r>
    </w:p>
    <w:p>
      <w:r>
        <w:rPr>
          <w:sz w:val="20"/>
        </w:rPr>
        <w:t xml:space="preserve">Перечень того, что определяется на стадии БИ: базис исходных данных, требующий подтверждения разработчиком ИД; сверки, не закрытые расчётом; данные, уточнение которых сужает расчётные интервалы.</w:t>
      </w:r>
    </w:p>
    <w:p>
      <w:r>
        <w:rPr>
          <w:b/>
          <w:sz w:val="21"/>
        </w:rPr>
        <w:t xml:space="preserve">Подтверждение базиса исходных данных</w:t>
      </w:r>
    </w:p>
    <w:p>
      <w:r>
        <w:rPr>
          <w:b/>
          <w:sz w:val="19"/>
        </w:rPr>
        <w:t xml:space="preserve">1. </w:t>
      </w:r>
      <w:r>
        <w:rPr>
          <w:sz w:val="19"/>
        </w:rPr>
        <w:t xml:space="preserve">Газовые потоки ИД — часовые максимумы (K=1,15): тракт и СКЦ проверять именно на них (к сведению).</w:t>
      </w:r>
    </w:p>
    <w:p>
      <w:r>
        <w:rPr>
          <w:b/>
          <w:sz w:val="19"/>
        </w:rPr>
        <w:t xml:space="preserve">2. </w:t>
      </w:r>
      <w:r>
        <w:rPr>
          <w:sz w:val="19"/>
        </w:rPr>
        <w:t xml:space="preserve">Кислород: норма расхода табл. 26 превышает балансовую потребность на ~16 % (существенный).</w:t>
      </w:r>
    </w:p>
    <w:p>
      <w:r>
        <w:rPr>
          <w:b/>
          <w:sz w:val="19"/>
        </w:rPr>
        <w:t xml:space="preserve">3. </w:t>
      </w:r>
      <w:r>
        <w:rPr>
          <w:sz w:val="19"/>
        </w:rPr>
        <w:t xml:space="preserve">Тепловой эффект обжига 2,378 ГДж/т — запросить расчёт (наша оценка 2,7–2,9) (существенный).</w:t>
      </w:r>
    </w:p>
    <w:p>
      <w:r>
        <w:rPr>
          <w:b/>
          <w:sz w:val="19"/>
        </w:rPr>
        <w:t xml:space="preserve">4. </w:t>
      </w:r>
      <w:r>
        <w:rPr>
          <w:sz w:val="19"/>
        </w:rPr>
        <w:t xml:space="preserve">Электропотребление лота 1: потребители, не нормированные в ИД табл. 26, дают ≈ +56 % к учтённому (существенный).</w:t>
      </w:r>
    </w:p>
    <w:p>
      <w:r>
        <w:rPr>
          <w:b/>
          <w:sz w:val="19"/>
        </w:rPr>
        <w:t xml:space="preserve">5. </w:t>
      </w:r>
      <w:r>
        <w:rPr>
          <w:sz w:val="19"/>
        </w:rPr>
        <w:t xml:space="preserve">Cu в медном купоросе 25,7 % &gt; теоретических 25,45 % для CuSO₄·5H₂O (существенный).</w:t>
      </w:r>
    </w:p>
    <w:p>
      <w:r>
        <w:rPr>
          <w:b/>
          <w:sz w:val="19"/>
        </w:rPr>
        <w:t xml:space="preserve">6. </w:t>
      </w:r>
      <w:r>
        <w:rPr>
          <w:sz w:val="19"/>
        </w:rPr>
        <w:t xml:space="preserve">η в ИД задан неявно (≈89 % из табл. 3.1/4.2) — запросить подтверждение (требует уточнения).</w:t>
      </w:r>
    </w:p>
    <w:p>
      <w:r>
        <w:rPr>
          <w:b/>
          <w:sz w:val="19"/>
        </w:rPr>
        <w:t xml:space="preserve">7. </w:t>
      </w:r>
      <w:r>
        <w:rPr>
          <w:sz w:val="19"/>
        </w:rPr>
        <w:t xml:space="preserve">Базис — новое строительство: подтверждён ТЗ v4.1 п.1.3; открыты статус Прил.№6/№7 и генплан (существенный).</w:t>
      </w:r>
    </w:p>
    <w:p>
      <w:r>
        <w:rPr>
          <w:b/>
          <w:sz w:val="19"/>
        </w:rPr>
        <w:t xml:space="preserve">8. </w:t>
      </w:r>
      <w:r>
        <w:rPr>
          <w:sz w:val="19"/>
        </w:rPr>
        <w:t xml:space="preserve">Титульная производительность 75 000 т/год требует сырьевого баланса сверх ИД табл. 22 (расчётная обеспеченность ≈94 %) (существенный).</w:t>
      </w:r>
    </w:p>
    <w:p>
      <w:r>
        <w:rPr>
          <w:b/>
          <w:sz w:val="19"/>
        </w:rPr>
        <w:t xml:space="preserve">9. </w:t>
      </w:r>
      <w:r>
        <w:rPr>
          <w:sz w:val="19"/>
        </w:rPr>
        <w:t xml:space="preserve">Кислотная точка росы газов ≈218/210 °C — заложить требования к стенкам тракта (≥240 °C) и продувке при остановках (существенный).</w:t>
      </w:r>
    </w:p>
    <w:p>
      <w:r>
        <w:rPr>
          <w:b/>
          <w:sz w:val="19"/>
        </w:rPr>
        <w:t xml:space="preserve">10. </w:t>
      </w:r>
      <w:r>
        <w:rPr>
          <w:sz w:val="19"/>
        </w:rPr>
        <w:t xml:space="preserve">Габарит печи КС найден в ИД ч.1 (стр. 417): конус Ø6000→8390 (полный угол 21°), 583 сопла — модель и CFD-кейс обновлены (к сведению).</w:t>
      </w:r>
    </w:p>
    <w:p>
      <w:r>
        <w:rPr>
          <w:b/>
          <w:sz w:val="19"/>
        </w:rPr>
        <w:t xml:space="preserve">11. </w:t>
      </w:r>
      <w:r>
        <w:rPr>
          <w:sz w:val="19"/>
        </w:rPr>
        <w:t xml:space="preserve">Хлор в электролите 25–30 г/м³ — на пределе стойкости матриц 316L (кампания 6 лет под риском) (существенный).</w:t>
      </w:r>
    </w:p>
    <w:p>
      <w:r>
        <w:rPr>
          <w:b/>
          <w:sz w:val="21"/>
        </w:rPr>
        <w:t xml:space="preserve">Сверки, не закрытые расчётом</w:t>
      </w:r>
    </w:p>
    <w:p>
      <w:r>
        <w:rPr>
          <w:b/>
          <w:sz w:val="19"/>
        </w:rPr>
        <w:t xml:space="preserve">12. </w:t>
      </w:r>
      <w:r>
        <w:rPr>
          <w:sz w:val="19"/>
        </w:rPr>
        <w:t xml:space="preserve">Блок X-CU. Обеспеченность «75 000 т/год» сырьём, %: расчёт КВАНТ 93,7 против 100,0 по ИД (отклонение -6,33 %).</w:t>
      </w:r>
    </w:p>
    <w:p>
      <w:r>
        <w:rPr>
          <w:b/>
          <w:sz w:val="21"/>
        </w:rPr>
        <w:t xml:space="preserve">Данные, сужающие расчётные интервалы</w:t>
      </w:r>
    </w:p>
    <w:p>
      <w:r>
        <w:rPr>
          <w:b/>
          <w:sz w:val="19"/>
        </w:rPr>
        <w:t xml:space="preserve">13. </w:t>
      </w:r>
      <w:r>
        <w:rPr>
          <w:sz w:val="19"/>
        </w:rPr>
        <w:t xml:space="preserve">Катодная медь, т/год: размах P10–P90 4,2 % — паспорта/планы поставок сырья.</w:t>
      </w:r>
    </w:p>
    <w:p>
      <w:r>
        <w:rPr>
          <w:b/>
          <w:sz w:val="19"/>
        </w:rPr>
        <w:t xml:space="preserve">14. </w:t>
      </w:r>
      <w:r>
        <w:rPr>
          <w:sz w:val="19"/>
        </w:rPr>
        <w:t xml:space="preserve">Пар КУ, т/ч: размах P10–P90 19,2 % — расчёт теплового эффекта Гипроникеля (п.3 раздела 1).</w:t>
      </w:r>
    </w:p>
    <w:p>
      <w:r>
        <w:rPr>
          <w:b/>
          <w:sz w:val="19"/>
        </w:rPr>
        <w:t xml:space="preserve">15. </w:t>
      </w:r>
      <w:r>
        <w:rPr>
          <w:sz w:val="19"/>
        </w:rPr>
        <w:t xml:space="preserve">SO₂ на СКЦ (номинал), %: размах P10–P90 11,8 % — стабильность шихтовки и подсосов.</w:t>
      </w:r>
    </w:p>
    <w:p>
      <w:r>
        <w:rPr>
          <w:b/>
          <w:sz w:val="19"/>
        </w:rPr>
        <w:t xml:space="preserve">16. </w:t>
      </w:r>
      <w:r>
        <w:rPr>
          <w:sz w:val="19"/>
        </w:rPr>
        <w:t xml:space="preserve">Электрика лота 1, млн кВт·ч/год: размах P10–P90 19,2 % — опросные листы воздуходувки/вакуума (п.4 раздела 1).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ОВЭ75-БИ-Л3-РР · Расчётные приложения к пояснительной записке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№3 «Отделение электроэкстракции»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ОВЭ75-БИ-Л3-РР · Расчётные приложения к пояснительной записке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