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" w:after="40"/>
        <w:jc w:val="center"/>
      </w:pPr>
      <w:r>
        <w:rPr>
          <w:rFonts w:ascii="Arial" w:hAnsi="Arial" w:cs="Arial"/>
          <w:b/>
          <w:sz w:val="28"/>
          <w:szCs w:val="28"/>
        </w:rPr>
        <w:t xml:space="preserve">ООО «КВАНТ»</w:t>
      </w:r>
    </w:p>
    <w:p>
      <w:pPr>
        <w:spacing w:before="0" w:after="6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инжиниринг · поставка · сопровождение проектов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/>
        </w:tc>
      </w:tr>
    </w:tbl>
    <w:p>
      <w:pPr>
        <w:spacing w:before="0" w:after="6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  <w:jc w:val="center"/>
      </w:pPr>
      <w:r>
        <w:rPr>
          <w:rFonts w:ascii="Arial" w:hAnsi="Arial" w:cs="Arial"/>
          <w:color w:val="555555"/>
          <w:sz w:val="20"/>
          <w:szCs w:val="20"/>
        </w:rPr>
        <w:t xml:space="preserve">Заказчик: </w:t>
      </w:r>
      <w:r>
        <w:rPr>
          <w:rFonts w:ascii="Arial" w:hAnsi="Arial" w:cs="Arial"/>
          <w:sz w:val="20"/>
          <w:szCs w:val="20"/>
        </w:rPr>
        <w:t xml:space="preserve">АО «Кольская ГМК»</w:t>
      </w:r>
    </w:p>
    <w:p>
      <w:pPr>
        <w:spacing w:before="0" w:after="80"/>
        <w:jc w:val="center"/>
      </w:pPr>
      <w:r>
        <w:rPr>
          <w:rFonts w:ascii="Arial" w:hAnsi="Arial" w:cs="Arial"/>
          <w:sz w:val="20"/>
          <w:szCs w:val="20"/>
        </w:rPr>
        <w:t xml:space="preserve">Комплекс «обжиг – выщелачивание – электроэкстракция» производительностью 75 000 т катодной меди в год</w:t>
      </w:r>
    </w:p>
    <w:p>
      <w:pPr>
        <w:spacing w:before="0" w:after="400"/>
        <w:jc w:val="center"/>
      </w:pPr>
      <w:r>
        <w:rPr>
          <w:rFonts w:ascii="Arial" w:hAnsi="Arial" w:cs="Arial"/>
          <w:sz w:val="20"/>
          <w:szCs w:val="20"/>
        </w:rPr>
        <w:t xml:space="preserve">Шифр объекта КГМК.ОВЭ-75</w:t>
      </w:r>
    </w:p>
    <w:p>
      <w:pPr>
        <w:spacing w:before="0" w:after="80"/>
        <w:jc w:val="center"/>
      </w:pPr>
      <w:r>
        <w:rPr>
          <w:rFonts w:ascii="Arial" w:hAnsi="Arial" w:cs="Arial"/>
          <w:b/>
          <w:sz w:val="22"/>
          <w:szCs w:val="22"/>
        </w:rPr>
        <w:t xml:space="preserve">БАЗОВЫЙ ИНЖИНИРИНГ — ЭСКИЗНАЯ ПРОРАБОТКА</w:t>
      </w:r>
    </w:p>
    <w:p>
      <w:pPr>
        <w:spacing w:before="0" w:after="520"/>
        <w:jc w:val="center"/>
      </w:pPr>
      <w:r>
        <w:rPr>
          <w:rFonts w:ascii="Arial" w:hAnsi="Arial" w:cs="Arial"/>
          <w:sz w:val="22"/>
          <w:szCs w:val="22"/>
        </w:rPr>
        <w:t xml:space="preserve">Лот №3 «Отделение электроэкстракции»</w:t>
      </w:r>
    </w:p>
    <w:p>
      <w:pPr>
        <w:spacing w:before="0" w:after="160"/>
        <w:jc w:val="center"/>
      </w:pPr>
      <w:r>
        <w:rPr>
          <w:rFonts w:ascii="Arial" w:hAnsi="Arial" w:cs="Arial"/>
          <w:b/>
          <w:sz w:val="36"/>
          <w:szCs w:val="36"/>
        </w:rPr>
        <w:t xml:space="preserve">Тепловыделения и выделения вредностей от оборудования (данные для смежных разделов)</w:t>
      </w:r>
    </w:p>
    <w:p>
      <w:pPr>
        <w:spacing w:before="0" w:after="2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Обозначение документа</w:t>
      </w:r>
    </w:p>
    <w:p>
      <w:pPr>
        <w:spacing w:before="0" w:after="400"/>
        <w:jc w:val="center"/>
      </w:pPr>
      <w:r>
        <w:rPr>
          <w:rFonts w:ascii="Arial" w:hAnsi="Arial" w:cs="Arial"/>
          <w:b/>
          <w:sz w:val="28"/>
          <w:szCs w:val="28"/>
        </w:rPr>
        <w:t xml:space="preserve">ОВЭ75-БИ-Л3-ТВ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ЭСКИЗНАЯ ПРОРАБОТКА · НЕ ДЛЯ СТРОИТЕЛЬСТВА · РЕВИЗИЯ 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Документ выпущен для согласования состава и решений с Заказчиком. Численные значения предварительные, подлежат уточнению по исходным данным Заказчика и техническим предложениям изготовителей. Не подлежит применению для закупки, изготовления и строительства.</w:t>
            </w:r>
          </w:p>
        </w:tc>
      </w:tr>
    </w:tbl>
    <w:p>
      <w:pPr>
        <w:spacing w:before="0" w:after="30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3276"/>
        <w:gridCol w:w="3372"/>
        <w:gridCol w:w="2988"/>
      </w:tblGrid>
      <w:tr>
        <w:tc>
          <w:tcPr>
            <w:tcW w:w="327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Должность</w:t>
            </w:r>
          </w:p>
        </w:tc>
        <w:tc>
          <w:tcPr>
            <w:tcW w:w="3372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Подпись, дата</w:t>
            </w:r>
          </w:p>
        </w:tc>
        <w:tc>
          <w:tcPr>
            <w:tcW w:w="2988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Фамилия</w:t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Генеральный директор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Главный инженер проекта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Разработал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60"/>
        <w:jc w:val="center"/>
      </w:pPr>
      <w:r>
        <w:rPr>
          <w:rFonts w:ascii="Arial" w:hAnsi="Arial" w:cs="Arial"/>
          <w:sz w:val="20"/>
          <w:szCs w:val="20"/>
        </w:rPr>
        <w:t xml:space="preserve">Ревизия 0 · 02.09.2026</w:t>
      </w:r>
    </w:p>
    <w:p>
      <w:pPr>
        <w:spacing w:before="0" w:after="0"/>
        <w:jc w:val="center"/>
      </w:pPr>
      <w:r>
        <w:rPr>
          <w:rFonts w:ascii="Arial" w:hAnsi="Arial" w:cs="Arial"/>
          <w:sz w:val="20"/>
          <w:szCs w:val="20"/>
        </w:rPr>
        <w:t xml:space="preserve">Москва, 2026</w:t>
      </w:r>
      <w:r>
        <w:br w:type="page"/>
      </w:r>
    </w:p>
    <w:p>
      <w:pPr>
        <w:spacing w:before="0" w:after="160"/>
      </w:pPr>
      <w:r>
        <w:rPr>
          <w:rFonts w:ascii="Arial" w:hAnsi="Arial" w:cs="Arial"/>
          <w:b/>
          <w:sz w:val="24"/>
          <w:szCs w:val="24"/>
        </w:rPr>
        <w:t xml:space="preserve">Лист регистрации ревизий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000"/>
        <w:gridCol w:w="1500"/>
        <w:gridCol w:w="4436"/>
        <w:gridCol w:w="1350"/>
        <w:gridCol w:w="1350"/>
      </w:tblGrid>
      <w:tr>
        <w:tc>
          <w:tcPr>
            <w:tcW w:w="10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Ревизия</w:t>
            </w:r>
          </w:p>
        </w:tc>
        <w:tc>
          <w:tcPr>
            <w:tcW w:w="15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Дата</w:t>
            </w:r>
          </w:p>
        </w:tc>
        <w:tc>
          <w:tcPr>
            <w:tcW w:w="443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Содержание изменений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Разработал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Проверил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02.09.2026</w:t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Первая выдача. Черновик для согласования состава и решений с Заказчиком.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2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</w:pPr>
      <w:r>
        <w:rPr>
          <w:rFonts w:ascii="Arial" w:hAnsi="Arial" w:cs="Arial"/>
          <w:b/>
          <w:sz w:val="20"/>
          <w:szCs w:val="20"/>
        </w:rPr>
        <w:t xml:space="preserve">Основание разработки</w:t>
      </w:r>
    </w:p>
    <w:p>
      <w:pPr>
        <w:spacing w:before="0" w:after="120"/>
      </w:pPr>
      <w:r>
        <w:rPr>
          <w:rFonts w:ascii="Arial" w:hAnsi="Arial" w:cs="Arial"/>
          <w:sz w:val="18"/>
          <w:szCs w:val="18"/>
        </w:rPr>
        <w:t xml:space="preserve">Техническое задание на выполнение Базового инжиниринга (ред. 4.1 от 25.08.2026) с приложениями; исходные данные Заказчика (части 1 и 2). Документ соответствует пункту состава Базового инжиниринга: D-27, D-28.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  <w:r>
        <w:br w:type="page"/>
      </w:r>
    </w:p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 Назначение документа</w:t>
      </w:r>
    </w:p>
    <w:p>
      <w:r>
        <w:rPr>
          <w:sz w:val="20"/>
        </w:rPr>
        <w:t xml:space="preserve">Документ содержит данные о тепловыделениях от поверхностей оборудования Лота №3 «Отделение электроэкстракции» в помещения и о выделениях вредных веществ от оборудования в помещения, а также вытекающие из них исходные требования смежным разделам. Документ выполняет пункты состава Базового инжиниринга «тепловыделения от поверхностей оборудования в помещения цеха» и «выделение вредностей от оборудования в помещения цеха» Технического задания на Базовый инжиниринг ред. 4.1.</w:t>
      </w:r>
    </w:p>
    <w:p>
      <w:r>
        <w:rPr>
          <w:sz w:val="20"/>
        </w:rPr>
        <w:t xml:space="preserve">Приведённые данные являются исходными для разработки раздела отопления, вентиляции и кондиционирования воздуха (расчёт воздухообмена, подбор систем общеобменной и аварийной вентиляции, местных отсосов и отопления) и для разработки раздела охраны окружающей среды проектной документации (инвентаризация источников выбросов, расчёт рассеивания, нормативы допустимых выбросов). Оба раздела выполняются генеральным проектировщиком; настоящий документ данные для них формирует, но сами расчёты воздухообмена и рассеивания не содержит.</w:t>
      </w:r>
    </w:p>
    <w:p>
      <w:r>
        <w:rPr>
          <w:sz w:val="20"/>
        </w:rPr>
        <w:t xml:space="preserve">Отделение электроэкстракции меди. Базис размещения — новое строительство корпуса 36 × 190 м; приспособление существующего корпуса электрорафинирования сохранено как резервный сценарий. Определяющая особенность лота по настоящему разделу: 180 электролизных ванн с открытым зеркалом кислого электролита при 50 °C — распределённый источник тепла, влаги и аэрозоля серной кислоты по всей площади зала; локализация выделений выполняется индивидуальными укрытиями ванн, а не только общеобменной вентиляцией.</w:t>
      </w:r>
    </w:p>
    <w:p>
      <w:r>
        <w:rPr>
          <w:color w:val="666666"/>
          <w:sz w:val="17"/>
        </w:rPr>
        <w:t xml:space="preserve">Источник: ИД ч.2 (табл. 3.1 — баланс контура циркуляции и тепловые нагрузки, табл. 4.2 — характеристики ванн и оборудования, п. 4.2.1 и 4.2.2 — режимы и аспирация, приложение В — габариты ванн и условия в зале); ТЗ на БИ ред. 4.1 (п. 5.1 — составы растворов, п. 5.3 — режим работы и состав поставки); расчётная модель КВАНТ</w:t>
      </w:r>
    </w:p>
    <w:p>
      <w:r>
        <w:rPr>
          <w:sz w:val="20"/>
        </w:rPr>
        <w:t xml:space="preserve">Связанные документы выпуска по лоту:</w:t>
      </w:r>
    </w:p>
    <w:p>
      <w:r>
        <w:rPr>
          <w:sz w:val="20"/>
        </w:rPr>
        <w:t xml:space="preserve">— ОВЭ75-БИ-Л3-ПЗ — Пояснительная записка</w:t>
      </w:r>
    </w:p>
    <w:p>
      <w:r>
        <w:rPr>
          <w:sz w:val="20"/>
        </w:rPr>
        <w:t xml:space="preserve">— ОВЭ75-БИ-Л3-КР — Компоновочные решения (планы, разрезы)</w:t>
      </w:r>
    </w:p>
    <w:p>
      <w:r>
        <w:rPr>
          <w:sz w:val="20"/>
        </w:rPr>
        <w:t xml:space="preserve">— ОВЭ75-БИ-Л3-СО — Спецификация оборудования с техническими характеристиками</w:t>
      </w:r>
    </w:p>
    <w:p>
      <w:r>
        <w:rPr>
          <w:sz w:val="20"/>
        </w:rPr>
        <w:t xml:space="preserve">— ОВЭ75-БИ-Л3-ОЛ — Опросные листы основного оборудования (альбом)</w:t>
      </w:r>
    </w:p>
    <w:p>
      <w:r>
        <w:rPr>
          <w:sz w:val="20"/>
        </w:rPr>
        <w:t xml:space="preserve">— ОВЭ75-БИ-Л3-PID — Предварительные схемы трубопроводов и КИПиА (P&amp;ID)</w:t>
      </w:r>
    </w:p>
    <w:p>
      <w:r>
        <w:rPr>
          <w:sz w:val="20"/>
        </w:rPr>
        <w:t xml:space="preserve">— ОВЭ75-БИ-Л3-НГ — Планы строительных конструкций и фундаментов с предварительными нагрузками</w:t>
      </w:r>
    </w:p>
    <w:p>
      <w:pPr>
        <w:pStyle w:val="Heading2"/>
      </w:pPr>
      <w:r>
        <w:rPr>
          <w:b/>
          <w:sz w:val="24"/>
        </w:rPr>
        <w:t xml:space="preserve">1.2 Границы объёма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50"/>
        <w:gridCol w:w="6904"/>
      </w:tblGrid>
      <w:tr>
        <w:trPr>
          <w:tblHeader/>
          <w:cantSplit/>
        </w:trPr>
        <w:tc>
          <w:tcPr>
            <w:tcW w:w="2450" w:type="dxa"/>
            <w:shd w:val="clear" w:fill="EFEFEF"/>
          </w:tcPr>
          <w:p>
            <w:r>
              <w:rPr>
                <w:b/>
                <w:sz w:val="15"/>
              </w:rPr>
              <w:t xml:space="preserve">Раздел объёма</w:t>
            </w:r>
          </w:p>
        </w:tc>
        <w:tc>
          <w:tcPr>
            <w:tcW w:w="6904" w:type="dxa"/>
            <w:shd w:val="clear" w:fill="EFEFEF"/>
          </w:tcPr>
          <w:p>
            <w:r>
              <w:rPr>
                <w:b/>
                <w:sz w:val="15"/>
              </w:rPr>
              <w:t xml:space="preserve">Состав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7"/>
              </w:rPr>
              <w:t xml:space="preserve">Выдаётся в составе Базового инжиниринга</w:t>
            </w:r>
          </w:p>
        </w:tc>
        <w:tc>
          <w:tcPr>
            <w:tcW w:w="6904" w:type="dxa"/>
          </w:tcPr>
          <w:p>
            <w:r>
              <w:rPr>
                <w:sz w:val="17"/>
              </w:rPr>
              <w:t xml:space="preserve">Ведомость тепловыделений от поверхностей оборудования в помещения с указанием места, величины, характера выделения и источника оценки; перечень выделяющихся вредных веществ с гигиеническими нормативами; ведомость источников выделений с характером и требованиями к локализации; требования к укрытиям, местным отсосам и аспирации технологического оборудования; характеристика помещений и режимов работы; сводные данные по воздействию на окружающую среду в объёме, вытекающем из балансов лота.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7"/>
              </w:rPr>
              <w:t xml:space="preserve">Выполняет смежный проектировщик</w:t>
            </w:r>
          </w:p>
        </w:tc>
        <w:tc>
          <w:tcPr>
            <w:tcW w:w="6904" w:type="dxa"/>
          </w:tcPr>
          <w:p>
            <w:r>
              <w:rPr>
                <w:sz w:val="17"/>
              </w:rPr>
              <w:t xml:space="preserve">Расчёт воздухообмена и подбор систем общеобменной вентиляции, отопления, кондиционирования и аварийной вентиляции; расчёт производительности местных отсосов по принятым укрытиям; расчёт систем противодымной вентиляции; расчёт рассеивания выбросов, нормативы допустимых выбросов и разделы охраны окружающей среды проектной документации.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7"/>
              </w:rPr>
              <w:t xml:space="preserve">Уточняется по данным изготовителей и по результатам обследования</w:t>
            </w:r>
          </w:p>
        </w:tc>
        <w:tc>
          <w:tcPr>
            <w:tcW w:w="6904" w:type="dxa"/>
          </w:tcPr>
          <w:p>
            <w:r>
              <w:rPr>
                <w:sz w:val="17"/>
              </w:rPr>
              <w:t xml:space="preserve">Фактические температуры поверхностей, толщины и конструкция теплоизоляции по конструкторской документации; интенсивности пылевыделения и аэрозолеобразования по опросным листам и техническим предложениям на укрытия, центрифуги, узлы фасовки, аспирационное и газоочистное оборудование; уровни шума и вибрации по паспортам оборудования; подтверждение расчётных значений тепловизионным обследованием и замерами воздуха рабочей зоны при пусконаладочных работах.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1.3 Статус и достоверность данных</w:t>
      </w:r>
    </w:p>
    <w:p>
      <w:r>
        <w:rPr>
          <w:sz w:val="20"/>
        </w:rPr>
        <w:t xml:space="preserve">Статус данных настоящего документа установлен редакцией 4.1 Технического задания, принятой Заказчиком: предварительные расчётные данные по аналогам. Подтверждение величин выполняется на детальном этапе по данным изготовителей оборудования, а по выделениям вредностей — дополнительно замерами воздуха рабочей зоны при пусконаладочных работах и в рамках программы производственного контроля.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1900"/>
        <w:gridCol w:w="3700"/>
        <w:gridCol w:w="3754"/>
      </w:tblGrid>
      <w:tr>
        <w:trPr>
          <w:tblHeader/>
          <w:cantSplit/>
        </w:trPr>
        <w:tc>
          <w:tcPr>
            <w:tcW w:w="1900" w:type="dxa"/>
            <w:shd w:val="clear" w:fill="EFEFEF"/>
          </w:tcPr>
          <w:p>
            <w:r>
              <w:rPr>
                <w:b/>
                <w:sz w:val="15"/>
              </w:rPr>
              <w:t xml:space="preserve">Категория</w:t>
            </w:r>
          </w:p>
        </w:tc>
        <w:tc>
          <w:tcPr>
            <w:tcW w:w="3700" w:type="dxa"/>
            <w:shd w:val="clear" w:fill="EFEFEF"/>
          </w:tcPr>
          <w:p>
            <w:r>
              <w:rPr>
                <w:b/>
                <w:sz w:val="15"/>
              </w:rPr>
              <w:t xml:space="preserve">Признак</w:t>
            </w:r>
          </w:p>
        </w:tc>
        <w:tc>
          <w:tcPr>
            <w:tcW w:w="3754" w:type="dxa"/>
            <w:shd w:val="clear" w:fill="EFEFEF"/>
          </w:tcPr>
          <w:p>
            <w:r>
              <w:rPr>
                <w:b/>
                <w:sz w:val="15"/>
              </w:rPr>
              <w:t xml:space="preserve">Порядок использования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Задано исходными данными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Величина приведена в исходных данных Заказчика или в Техническом задании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Принимается без изменения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Расчёт по балансу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Величина получена из теплового или материального баланса лота как статья, не отведённая теплоносителями и не унесённая материальными потоками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Принимается как расчётная верхняя оценка; уточняется после теплового расчёта изоляции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Оценка по аналогам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Величина принята по опыту аналогичных переделов и задана диапазоном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В расчёт воздухообмена принимается верхняя граница диапазона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По техническому предложению изготовителя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Характеристика исходными данными не задана и определяется комплектацией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Резервируются производительность системы и место размещения оборудования; величина вносится в ведомость итерацией после получения технических предложений</w:t>
            </w:r>
          </w:p>
        </w:tc>
      </w:tr>
    </w:tbl>
    <w:p>
      <w:r>
        <w:rPr>
          <w:color w:val="555555"/>
          <w:sz w:val="18"/>
        </w:rPr>
        <w:t xml:space="preserve">Записи в графах ведомостей: «По техническому предложению изготовителя» — характеристика исходными данными не задана и вносится по техническому предложению; «Определяется на стадии БИ» — величину дают расчёты и решения текущей стадии; знак «—» — характеристика к позиции не применима.</w:t>
      </w:r>
    </w:p>
    <w:p>
      <w:pPr>
        <w:pStyle w:val="Heading2"/>
      </w:pPr>
      <w:r>
        <w:rPr>
          <w:b/>
          <w:sz w:val="24"/>
        </w:rPr>
        <w:t xml:space="preserve">1.4 Нормативная база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900"/>
        <w:gridCol w:w="6454"/>
      </w:tblGrid>
      <w:tr>
        <w:trPr>
          <w:tblHeader/>
          <w:cantSplit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5"/>
              </w:rPr>
              <w:t xml:space="preserve">Документ</w:t>
            </w:r>
          </w:p>
        </w:tc>
        <w:tc>
          <w:tcPr>
            <w:tcW w:w="6454" w:type="dxa"/>
            <w:shd w:val="clear" w:fill="EFEFEF"/>
          </w:tcPr>
          <w:p>
            <w:r>
              <w:rPr>
                <w:b/>
                <w:sz w:val="15"/>
              </w:rPr>
              <w:t xml:space="preserve">Область применения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СП 60.13330.2020 «Отопление, вентиляция и кондиционирование воздуха»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Ассимиляция тепло- и влаговыделений, местные отсосы, кратность воздухообмена зала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СП 61.13330.2012 «Тепловая изоляция оборудования и трубопроводов»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Температура доступных поверхностей в обслуживаемых зонах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СП 28.13330.2017 «Защита строительных конструкций от коррозии»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Кислотозащита конструкций и полов электролизного зала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ГОСТ 15150-69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Климатическое исполнение оборудования УХЛ3 для условий зала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ГОСТ 12.1.005-88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Общие санитарно-гигиенические требования к воздуху рабочей зоны; предельно допустимые концентрации и классы опасности вредных веществ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СанПиН 1.2.3685-21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Гигиенические нормативы: предельно допустимые концентрации, параметры микроклимата, тепловое облучение, шум, вибрация, магнитные поля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ГОСТ 12.1.003-2014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Шум — общие требования безопасности и допустимые уровни на рабочих местах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ГОСТ 12.1.012-2004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Вибрационная безопасность — допустимые уровни на рабочих местах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СП 12.13130.2009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Категорирование помещений по взрывопожарной и пожарной опасности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СП 2.2.3670-20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Санитарно-эпидемиологические требования к условиям труда, производственный контроль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ГОСТ 12.4.021-75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Системы вентиляционные — общие требования к устройству и эксплуатации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Федеральный закон № 89-ФЗ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Обращение с отходами; паспортизация классов опасности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1.5 Режим работы и условия эксплуатации</w:t>
      </w:r>
    </w:p>
    <w:p>
      <w:r>
        <w:rPr>
          <w:sz w:val="20"/>
        </w:rPr>
        <w:t xml:space="preserve">Тепловыделения и выделения вредностей приведены для установившегося режима работы оборудования. Режим работы лота и климатические условия площадки определяют расчётные режимы систем вентиляции и отопления и режим работы источников выбросов.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500"/>
        <w:gridCol w:w="4700"/>
        <w:gridCol w:w="2154"/>
      </w:tblGrid>
      <w:tr>
        <w:trPr>
          <w:tblHeader/>
          <w:cantSplit/>
        </w:trPr>
        <w:tc>
          <w:tcPr>
            <w:tcW w:w="2500" w:type="dxa"/>
            <w:shd w:val="clear" w:fill="EFEFEF"/>
          </w:tcPr>
          <w:p>
            <w:r>
              <w:rPr>
                <w:b/>
                <w:sz w:val="15"/>
              </w:rPr>
              <w:t xml:space="preserve">Условие</w:t>
            </w:r>
          </w:p>
        </w:tc>
        <w:tc>
          <w:tcPr>
            <w:tcW w:w="4700" w:type="dxa"/>
            <w:shd w:val="clear" w:fill="EFEFEF"/>
          </w:tcPr>
          <w:p>
            <w:r>
              <w:rPr>
                <w:b/>
                <w:sz w:val="15"/>
              </w:rPr>
              <w:t xml:space="preserve">Значение</w:t>
            </w:r>
          </w:p>
        </w:tc>
        <w:tc>
          <w:tcPr>
            <w:tcW w:w="21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Режим работы</w:t>
            </w:r>
          </w:p>
        </w:tc>
        <w:tc>
          <w:tcPr>
            <w:tcW w:w="4700" w:type="dxa"/>
          </w:tcPr>
          <w:p>
            <w:r>
              <w:rPr>
                <w:sz w:val="17"/>
              </w:rPr>
              <w:t xml:space="preserve">Круглосуточный, 358 суток в году, фонд времени 8 584,8 ч при коэффициенте использования ванн 98 %; прочее оборудование гидрометаллургии — 8 322 ч</w:t>
            </w:r>
          </w:p>
        </w:tc>
        <w:tc>
          <w:tcPr>
            <w:tcW w:w="2154" w:type="dxa"/>
          </w:tcPr>
          <w:p>
            <w:r>
              <w:rPr>
                <w:sz w:val="17"/>
              </w:rPr>
              <w:t xml:space="preserve">ТЗ на БИ ред. 4.1 п. 5.3; ИД ч.2 табл. 3.1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Температура воздуха в электролизном зале</w:t>
            </w:r>
          </w:p>
        </w:tc>
        <w:tc>
          <w:tcPr>
            <w:tcW w:w="4700" w:type="dxa"/>
          </w:tcPr>
          <w:p>
            <w:r>
              <w:rPr>
                <w:sz w:val="17"/>
              </w:rPr>
              <w:t xml:space="preserve">+12…+24 °C</w:t>
            </w:r>
          </w:p>
        </w:tc>
        <w:tc>
          <w:tcPr>
            <w:tcW w:w="2154" w:type="dxa"/>
          </w:tcPr>
          <w:p>
            <w:r>
              <w:rPr>
                <w:sz w:val="17"/>
              </w:rPr>
              <w:t xml:space="preserve">ИД ч.2, приложение В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Относительная влажность в электролизном зале</w:t>
            </w:r>
          </w:p>
        </w:tc>
        <w:tc>
          <w:tcPr>
            <w:tcW w:w="4700" w:type="dxa"/>
          </w:tcPr>
          <w:p>
            <w:r>
              <w:rPr>
                <w:sz w:val="17"/>
              </w:rPr>
              <w:t xml:space="preserve">более 75 %</w:t>
            </w:r>
          </w:p>
        </w:tc>
        <w:tc>
          <w:tcPr>
            <w:tcW w:w="2154" w:type="dxa"/>
          </w:tcPr>
          <w:p>
            <w:r>
              <w:rPr>
                <w:sz w:val="17"/>
              </w:rPr>
              <w:t xml:space="preserve">ИД ч.2, приложение В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Периодические операции</w:t>
            </w:r>
          </w:p>
        </w:tc>
        <w:tc>
          <w:tcPr>
            <w:tcW w:w="4700" w:type="dxa"/>
          </w:tcPr>
          <w:p>
            <w:r>
              <w:rPr>
                <w:sz w:val="17"/>
              </w:rPr>
              <w:t xml:space="preserve">Около 28 обслуживаний ванн в сутки — по три подъёма трети матриц; замена анодов и чистка ванн от шлама в ручном режиме</w:t>
            </w:r>
          </w:p>
        </w:tc>
        <w:tc>
          <w:tcPr>
            <w:tcW w:w="2154" w:type="dxa"/>
          </w:tcPr>
          <w:p>
            <w:r>
              <w:rPr>
                <w:sz w:val="17"/>
              </w:rPr>
              <w:t xml:space="preserve">Расчёт графика обслуживания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Наиболее холодная пятидневка</w:t>
            </w:r>
          </w:p>
        </w:tc>
        <w:tc>
          <w:tcPr>
            <w:tcW w:w="4700" w:type="dxa"/>
          </w:tcPr>
          <w:p>
            <w:r>
              <w:rPr>
                <w:sz w:val="17"/>
              </w:rPr>
              <w:t xml:space="preserve">−34 °C при обеспеченности 0,98; −30 °C при 0,92</w:t>
            </w:r>
          </w:p>
        </w:tc>
        <w:tc>
          <w:tcPr>
            <w:tcW w:w="21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Наиболее холодные сутки</w:t>
            </w:r>
          </w:p>
        </w:tc>
        <w:tc>
          <w:tcPr>
            <w:tcW w:w="4700" w:type="dxa"/>
          </w:tcPr>
          <w:p>
            <w:r>
              <w:rPr>
                <w:sz w:val="17"/>
              </w:rPr>
              <w:t xml:space="preserve">−40 °C</w:t>
            </w:r>
          </w:p>
        </w:tc>
        <w:tc>
          <w:tcPr>
            <w:tcW w:w="21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Отопительный период</w:t>
            </w:r>
          </w:p>
        </w:tc>
        <w:tc>
          <w:tcPr>
            <w:tcW w:w="4700" w:type="dxa"/>
          </w:tcPr>
          <w:p>
            <w:r>
              <w:rPr>
                <w:sz w:val="17"/>
              </w:rPr>
              <w:t xml:space="preserve">271 сутки при средней температуре наружного воздуха −4,5 °C</w:t>
            </w:r>
          </w:p>
        </w:tc>
        <w:tc>
          <w:tcPr>
            <w:tcW w:w="21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Строительно-климатическая зона</w:t>
            </w:r>
          </w:p>
        </w:tc>
        <w:tc>
          <w:tcPr>
            <w:tcW w:w="4700" w:type="dxa"/>
          </w:tcPr>
          <w:p>
            <w:r>
              <w:rPr>
                <w:sz w:val="17"/>
              </w:rPr>
              <w:t xml:space="preserve">IIА, субарктический климат</w:t>
            </w:r>
          </w:p>
        </w:tc>
        <w:tc>
          <w:tcPr>
            <w:tcW w:w="2154" w:type="dxa"/>
          </w:tcPr>
          <w:p>
            <w:r>
              <w:rPr>
                <w:sz w:val="17"/>
              </w:rPr>
              <w:t xml:space="preserve">ИД ч.1</w:t>
            </w:r>
          </w:p>
        </w:tc>
      </w:tr>
    </w:tbl>
    <w:p>
      <w:r>
        <w:rPr>
          <w:sz w:val="20"/>
        </w:rPr>
        <w:t xml:space="preserve">Из климатических условий площадки вытекают требования, учитываемые при выдаче данных в раздел отопления и вентиляции: в холодный период года тепловыделения оборудования частично замещают отопление производственных помещений, поэтому расчёт систем выполняется на два режима — тёплый период с максимальным воздухообменом на ассимиляцию теплоизбытков и холодный период с проверкой достаточности тепловыделений; в нерабочих зонах предусматривается дежурное отопление на +5 °C; наружные ворота и проёмы с интенсивным движением транспорта оборудуются воздушно-тепловыми завесами.</w:t>
      </w:r>
    </w:p>
    <w:p>
      <w:pPr>
        <w:pStyle w:val="Heading1"/>
      </w:pPr>
      <w:r>
        <w:rPr>
          <w:b/>
          <w:sz w:val="28"/>
        </w:rPr>
        <w:t xml:space="preserve">2. Методика определения</w:t>
      </w:r>
    </w:p>
    <w:p>
      <w:pPr>
        <w:pStyle w:val="Heading2"/>
      </w:pPr>
      <w:r>
        <w:rPr>
          <w:b/>
          <w:sz w:val="24"/>
        </w:rPr>
        <w:t xml:space="preserve">2.1 Общий подход</w:t>
      </w:r>
    </w:p>
    <w:p>
      <w:r>
        <w:rPr>
          <w:sz w:val="20"/>
        </w:rPr>
        <w:t xml:space="preserve">Тепловыделения от поверхностей оборудования в помещения определены двумя независимыми путями с последующим сопоставлением результатов.</w:t>
      </w:r>
    </w:p>
    <w:p>
      <w:r>
        <w:rPr>
          <w:sz w:val="20"/>
        </w:rPr>
        <w:t xml:space="preserve">Путь первый — по тепловым балансам лота. Тепло, не отведённое целевыми теплоносителями (пар, оборотная вода, отходящие газы) и не унесённое материальными потоками продуктов, поступает в объём помещения. Для оборудования, тепловой баланс которого задан исходными данными Заказчика, этот путь даёт верхнюю оценку без дополнительных допущений и является основным.</w:t>
      </w:r>
    </w:p>
    <w:p>
      <w:r>
        <w:rPr>
          <w:sz w:val="20"/>
        </w:rPr>
        <w:t xml:space="preserve">Путь второй — по поверхностям оборудования. Тепловой поток от изолированных поверхностей принимается по нормируемой плотности теплового потока, от неизолированных — по суммарному коэффициенту теплоотдачи, учитывающему конвекцию и излучение, и разности температур поверхности и воздуха помещения. Этот путь применяется там, где баланс аппарата исходными данными не задан, и служит проверкой первого пути.</w:t>
      </w:r>
    </w:p>
    <w:p>
      <w:r>
        <w:rPr>
          <w:sz w:val="20"/>
        </w:rPr>
        <w:t xml:space="preserve">Тепловыделение электроприводов принимается равным 10 % потребляемой мощности приводов, размещённых в отапливаемых помещениях: потери в двигателе и передаче переходят в теплоту помещения, полезная работа передаётся перемещаемой среде или материалу.</w:t>
      </w:r>
    </w:p>
    <w:p>
      <w:r>
        <w:rPr>
          <w:sz w:val="20"/>
        </w:rPr>
        <w:t xml:space="preserve">Выделения вредностей определены по составам перерабатываемых материалов и растворов из материальных балансов лота с указанием характера выделения — постоянного или связанного с периодическими операциями. Количественные интенсивности выделений в единицах массы за единицу времени приводятся там, где они следуют из балансов; в остальных случаях выдаются перечень контролируемых веществ, гигиенические нормативы и целевые концентрации в воздухе рабочей зоны, а количественная оценка выполняется после фиксации расходов местных отсосов совместно со смежным проектировщиком.</w:t>
      </w:r>
    </w:p>
    <w:p>
      <w:pPr>
        <w:pStyle w:val="Heading2"/>
      </w:pPr>
      <w:r>
        <w:rPr>
          <w:b/>
          <w:sz w:val="24"/>
        </w:rPr>
        <w:t xml:space="preserve">2.2 Расчётные предпосылки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100"/>
        <w:gridCol w:w="3600"/>
        <w:gridCol w:w="2654"/>
      </w:tblGrid>
      <w:tr>
        <w:trPr>
          <w:tblHeader/>
          <w:cantSplit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5"/>
              </w:rPr>
              <w:t xml:space="preserve">Величина</w:t>
            </w:r>
          </w:p>
        </w:tc>
        <w:tc>
          <w:tcPr>
            <w:tcW w:w="3600" w:type="dxa"/>
            <w:shd w:val="clear" w:fill="EFEFEF"/>
          </w:tcPr>
          <w:p>
            <w:r>
              <w:rPr>
                <w:b/>
                <w:sz w:val="15"/>
              </w:rPr>
              <w:t xml:space="preserve">Принятое значение</w:t>
            </w:r>
          </w:p>
        </w:tc>
        <w:tc>
          <w:tcPr>
            <w:tcW w:w="2654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Нормируемая плотность теплового потока изолированных поверхностей горячих трактов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 xml:space="preserve">150–300 Вт/м²</w:t>
            </w:r>
          </w:p>
        </w:tc>
        <w:tc>
          <w:tcPr>
            <w:tcW w:w="2654" w:type="dxa"/>
          </w:tcPr>
          <w:p>
            <w:r>
              <w:rPr>
                <w:sz w:val="17"/>
              </w:rPr>
              <w:t xml:space="preserve">СП 61.13330.2012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Предельная температура поверхности изоляции в обслуживаемых зонах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 xml:space="preserve">не выше 45 °C</w:t>
            </w:r>
          </w:p>
        </w:tc>
        <w:tc>
          <w:tcPr>
            <w:tcW w:w="2654" w:type="dxa"/>
          </w:tcPr>
          <w:p>
            <w:r>
              <w:rPr>
                <w:sz w:val="17"/>
              </w:rPr>
              <w:t xml:space="preserve">СП 61.13330.2012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Суммарный коэффициент теплоотдачи неизолированной поверхности (конвекция и излучение)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 xml:space="preserve">10 Вт/(м²·К) — принято, уточняется на стадии БИ</w:t>
            </w:r>
          </w:p>
        </w:tc>
        <w:tc>
          <w:tcPr>
            <w:tcW w:w="2654" w:type="dxa"/>
          </w:tcPr>
          <w:p>
            <w:r>
              <w:rPr>
                <w:sz w:val="17"/>
              </w:rPr>
              <w:t xml:space="preserve">Расчётная модель КВАНТ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Доля потребляемой мощности электропривода, переходящая в теплоту помещения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 xml:space="preserve">10 %</w:t>
            </w:r>
          </w:p>
        </w:tc>
        <w:tc>
          <w:tcPr>
            <w:tcW w:w="2654" w:type="dxa"/>
          </w:tcPr>
          <w:p>
            <w:r>
              <w:rPr>
                <w:sz w:val="17"/>
              </w:rPr>
              <w:t xml:space="preserve">Расчётная модель КВАНТ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Температура наружной стенки электролизной ванны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 xml:space="preserve">не выше 40 °C при температуре воздуха зала +24 °C</w:t>
            </w:r>
          </w:p>
        </w:tc>
        <w:tc>
          <w:tcPr>
            <w:tcW w:w="2654" w:type="dxa"/>
          </w:tcPr>
          <w:p>
            <w:r>
              <w:rPr>
                <w:sz w:val="17"/>
              </w:rPr>
              <w:t xml:space="preserve">ИД ч.2, приложение В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Боковая поверхность одной ванны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 xml:space="preserve">2 × (8,645 + 1,315) × 1,8 = 35,9 м² при наружных габаритах ванны 8 645 × 1 315 мм и высоте 1 650 мм</w:t>
            </w:r>
          </w:p>
        </w:tc>
        <w:tc>
          <w:tcPr>
            <w:tcW w:w="2654" w:type="dxa"/>
          </w:tcPr>
          <w:p>
            <w:r>
              <w:rPr>
                <w:sz w:val="17"/>
              </w:rPr>
              <w:t xml:space="preserve">Расчёт по габаритам ИД ч.2, приложение В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Падение напряжения в межванновой ошиновке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 xml:space="preserve">0,06 В на ванну при токе серии 42 450 А</w:t>
            </w:r>
          </w:p>
        </w:tc>
        <w:tc>
          <w:tcPr>
            <w:tcW w:w="2654" w:type="dxa"/>
          </w:tcPr>
          <w:p>
            <w:r>
              <w:rPr>
                <w:sz w:val="17"/>
              </w:rPr>
              <w:t xml:space="preserve">Расчётная модель КВАНТ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Температурный коридор электролита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 xml:space="preserve">50 ± 2 °C, максимально 55 °C; снижение ниже 30–40 °C недопустимо по условию кристаллизации сульфатов</w:t>
            </w:r>
          </w:p>
        </w:tc>
        <w:tc>
          <w:tcPr>
            <w:tcW w:w="2654" w:type="dxa"/>
          </w:tcPr>
          <w:p>
            <w:r>
              <w:rPr>
                <w:sz w:val="17"/>
              </w:rPr>
              <w:t xml:space="preserve">ИД ч.2 табл. 3.1, п. 4.2.1, приложение В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Число и режим обслуживания ванн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 xml:space="preserve">180 ванн в двух сериях; около 28 обслуживаний в сутки с частичным вскрытием</w:t>
            </w:r>
          </w:p>
        </w:tc>
        <w:tc>
          <w:tcPr>
            <w:tcW w:w="2654" w:type="dxa"/>
          </w:tcPr>
          <w:p>
            <w:r>
              <w:rPr>
                <w:sz w:val="17"/>
              </w:rPr>
              <w:t xml:space="preserve">ИД ч.2 п. 4.2.2; расчёт графика обслуживания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2.3 Порядок уточнения</w:t>
      </w:r>
    </w:p>
    <w:p>
      <w:r>
        <w:rPr>
          <w:sz w:val="20"/>
        </w:rPr>
        <w:t xml:space="preserve">Уточнение приведённых величин выполняется в следующем порядке. Тепловыделения пересчитываются после теплового расчёта изоляции с фактическими поверхностями и толщинами и после получения конструкторской документации изготовителей — результатом является тепловой паспорт по помещениям в форме «аппарат — поверхность, м² — температура поверхности, °C — тепловой поток, Вт». Интенсивности выделений вредностей уточняются после фиксации расходов местных отсосов и по данным изготовителей укрытий и газоочистного оборудования. Итоговое подтверждение обеих групп величин выполняется замерами при пусконаладочных работах.</w:t>
      </w:r>
    </w:p>
    <w:p>
      <w:pPr>
        <w:pStyle w:val="Heading1"/>
      </w:pPr>
      <w:r>
        <w:rPr>
          <w:b/>
          <w:sz w:val="28"/>
        </w:rPr>
        <w:t xml:space="preserve">3. Тепловыделения от оборудования в помещения</w:t>
      </w:r>
    </w:p>
    <w:p>
      <w:pPr>
        <w:pStyle w:val="Heading2"/>
      </w:pPr>
      <w:r>
        <w:rPr>
          <w:b/>
          <w:sz w:val="24"/>
        </w:rPr>
        <w:t xml:space="preserve">3.1 Распределение теплового баланса лота</w:t>
      </w:r>
    </w:p>
    <w:p>
      <w:r>
        <w:rPr>
          <w:sz w:val="20"/>
        </w:rPr>
        <w:t xml:space="preserve">Ниже приведено распределение тепловых потоков лота с указанием того, куда отводится каждая статья. Из распределения выделяется часть, поступающая в объём помещений и подлежащая ассимиляции вентиляцией.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000"/>
        <w:gridCol w:w="3400"/>
        <w:gridCol w:w="2954"/>
      </w:tblGrid>
      <w:tr>
        <w:trPr>
          <w:tblHeader/>
          <w:cantSplit/>
        </w:trPr>
        <w:tc>
          <w:tcPr>
            <w:tcW w:w="3000" w:type="dxa"/>
            <w:shd w:val="clear" w:fill="EFEFEF"/>
          </w:tcPr>
          <w:p>
            <w:r>
              <w:rPr>
                <w:b/>
                <w:sz w:val="15"/>
              </w:rPr>
              <w:t xml:space="preserve">Статья теплового баланса</w:t>
            </w:r>
          </w:p>
        </w:tc>
        <w:tc>
          <w:tcPr>
            <w:tcW w:w="3400" w:type="dxa"/>
            <w:shd w:val="clear" w:fill="EFEFEF"/>
          </w:tcPr>
          <w:p>
            <w:r>
              <w:rPr>
                <w:b/>
                <w:sz w:val="15"/>
              </w:rPr>
              <w:t xml:space="preserve">Тепловой поток</w:t>
            </w:r>
          </w:p>
        </w:tc>
        <w:tc>
          <w:tcPr>
            <w:tcW w:w="2954" w:type="dxa"/>
            <w:shd w:val="clear" w:fill="EFEFEF"/>
          </w:tcPr>
          <w:p>
            <w:r>
              <w:rPr>
                <w:b/>
                <w:sz w:val="15"/>
              </w:rPr>
              <w:t xml:space="preserve">Куда отводится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Мощность выпрямления серий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около 15,7 МВт средняя: напряжение ванны 2,05 В при токе 42,45 кА, удельный расход 1 942 кВт·ч на тонну катодной меди</w:t>
            </w:r>
          </w:p>
        </w:tc>
        <w:tc>
          <w:tcPr>
            <w:tcW w:w="2954" w:type="dxa"/>
          </w:tcPr>
          <w:p>
            <w:r>
              <w:rPr>
                <w:sz w:val="17"/>
              </w:rPr>
              <w:t xml:space="preserve">Электрохимическая реакция и омические потери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Полное джоулево тепловыделение серий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около 6,5 МВт</w:t>
            </w:r>
          </w:p>
        </w:tc>
        <w:tc>
          <w:tcPr>
            <w:tcW w:w="2954" w:type="dxa"/>
          </w:tcPr>
          <w:p>
            <w:r>
              <w:rPr>
                <w:sz w:val="17"/>
              </w:rPr>
              <w:t xml:space="preserve">Нагрев электролита, конструкций ванн и ошиновки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Съём в пластинчатых холодильниках контура циркуляции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3 772 кВт расчётно (установлено 2 × 2 500 кВт, коэффициент запаса 1,33); поток 1 634,5 м³/ч охлаждается с 50,0 до 48,2 °C</w:t>
            </w:r>
          </w:p>
        </w:tc>
        <w:tc>
          <w:tcPr>
            <w:tcW w:w="2954" w:type="dxa"/>
          </w:tcPr>
          <w:p>
            <w:r>
              <w:rPr>
                <w:sz w:val="17"/>
              </w:rPr>
              <w:t xml:space="preserve">Оборотная вода нейтральной системы 216 м³/ч с нагревом 22,5 → 37,5 °C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Испарение с зеркала электролита под колпаками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Уносится системой аспирации; количественная оценка — после фиксации расхода аспирации</w:t>
            </w:r>
          </w:p>
        </w:tc>
        <w:tc>
          <w:tcPr>
            <w:tcW w:w="2954" w:type="dxa"/>
          </w:tcPr>
          <w:p>
            <w:r>
              <w:rPr>
                <w:sz w:val="17"/>
              </w:rPr>
              <w:t xml:space="preserve">Выхлоп аспирации после мокрой очистки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Теплоотдача наружных поверхностей ванн, ошиновки и узла обработки катодов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1 500–1 600 кВт</w:t>
            </w:r>
          </w:p>
        </w:tc>
        <w:tc>
          <w:tcPr>
            <w:tcW w:w="2954" w:type="dxa"/>
          </w:tcPr>
          <w:p>
            <w:r>
              <w:rPr>
                <w:sz w:val="17"/>
              </w:rPr>
              <w:t xml:space="preserve">В объём электролизного зала — определяющая статья настоящего документа</w:t>
            </w:r>
          </w:p>
        </w:tc>
      </w:tr>
    </w:tbl>
    <w:p>
      <w:r>
        <w:rPr>
          <w:sz w:val="20"/>
        </w:rPr>
        <w:t xml:space="preserve">Из приведённого распределения следует, что определяющая часть джоулева тепла снимается холодильниками наружного контура циркуляции и уносится испарением под колпаками ванн через систему аспирации. В объём зала поступает теплоотдача наружных стенок ванн, потери в открытой межванновой ошиновке и тепловыделение узла обработки катодов.</w:t>
      </w:r>
    </w:p>
    <w:p>
      <w:pPr>
        <w:pStyle w:val="Heading2"/>
      </w:pPr>
      <w:r>
        <w:rPr>
          <w:b/>
          <w:sz w:val="24"/>
        </w:rPr>
        <w:t xml:space="preserve">3.2 Ведомость тепловыделений в помещения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1700"/>
        <w:gridCol w:w="2700"/>
        <w:gridCol w:w="1200"/>
        <w:gridCol w:w="1400"/>
        <w:gridCol w:w="2354"/>
      </w:tblGrid>
      <w:tr>
        <w:trPr>
          <w:tblHeader/>
          <w:cantSplit/>
        </w:trPr>
        <w:tc>
          <w:tcPr>
            <w:tcW w:w="1700" w:type="dxa"/>
            <w:shd w:val="clear" w:fill="EFEFEF"/>
          </w:tcPr>
          <w:p>
            <w:r>
              <w:rPr>
                <w:b/>
                <w:sz w:val="15"/>
              </w:rPr>
              <w:t xml:space="preserve">Место (помещение, зона)</w:t>
            </w:r>
          </w:p>
        </w:tc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 тепловыделения</w:t>
            </w:r>
          </w:p>
        </w:tc>
        <w:tc>
          <w:tcPr>
            <w:tcW w:w="1200" w:type="dxa"/>
            <w:shd w:val="clear" w:fill="EFEFEF"/>
          </w:tcPr>
          <w:p>
            <w:r>
              <w:rPr>
                <w:b/>
                <w:sz w:val="15"/>
              </w:rPr>
              <w:t xml:space="preserve">В помещение, кВт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5"/>
              </w:rPr>
              <w:t xml:space="preserve">Характер</w:t>
            </w:r>
          </w:p>
        </w:tc>
        <w:tc>
          <w:tcPr>
            <w:tcW w:w="23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 оценки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Электролизный зал, ряды ванн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Теплоотдача наружных стенок 180 электролизных ванн: боковая поверхность 35,9 м² на ванну, температура стенки не выше 40 °C при температуре воздуха +24 °C, суммарный коэффициент теплоотдачи 10 Вт/(м²·К) — 5,7 кВт на ванну</w:t>
            </w:r>
          </w:p>
        </w:tc>
        <w:tc>
          <w:tcPr>
            <w:tcW w:w="1200" w:type="dxa"/>
          </w:tcPr>
          <w:p>
            <w:r>
              <w:rPr>
                <w:sz w:val="16"/>
              </w:rPr>
              <w:t xml:space="preserve">1 030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Расчёт по ИД ч.2, приложение В; Расчётная модель КВАНТ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Электролизный зал, межванновое пространство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Потери в открытой межванновой ошиновке: 2 серии × 90 ванн × 0,06 В × 42 450 А</w:t>
            </w:r>
          </w:p>
        </w:tc>
        <w:tc>
          <w:tcPr>
            <w:tcW w:w="1200" w:type="dxa"/>
          </w:tcPr>
          <w:p>
            <w:r>
              <w:rPr>
                <w:sz w:val="16"/>
              </w:rPr>
              <w:t xml:space="preserve">460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Расчётная модель КВАНТ; ИД ч.2 табл. 4.2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Зона обработки катодов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Роботизированная катодосдирочная машина и гидростанция (установленная мощность 125 кВт, потребляемая 105 кВт) и открытые поверхности узла промывки: I ступень 25 м³/ч при 60–80 °C, II ступень 4 м³/ч при 90–115 °C</w:t>
            </w:r>
          </w:p>
        </w:tc>
        <w:tc>
          <w:tcPr>
            <w:tcW w:w="1200" w:type="dxa"/>
          </w:tcPr>
          <w:p>
            <w:r>
              <w:rPr>
                <w:sz w:val="16"/>
              </w:rPr>
              <w:t xml:space="preserve">100–150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ИД ч.2 п. 4.2.2; Расчётная модель КВАНТ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Электролизный зал, зумпфы и переливные карманы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Открытые зеркала растворов при температуре около 50 °C вне колпаков ванн</w:t>
            </w:r>
          </w:p>
        </w:tc>
        <w:tc>
          <w:tcPr>
            <w:tcW w:w="1200" w:type="dxa"/>
          </w:tcPr>
          <w:p>
            <w:r>
              <w:rPr>
                <w:sz w:val="16"/>
              </w:rPr>
              <w:t xml:space="preserve">Учтено в итоге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Расчётная модель КВАНТ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Баковое хозяйство (смежный пролёт)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Циркуляционные баки 2 × 300 м³ с раствором 50 °C и узлы приготовления реагентов: теплоотдача стенок и открытых зеркал</w:t>
            </w:r>
          </w:p>
        </w:tc>
        <w:tc>
          <w:tcPr>
            <w:tcW w:w="1200" w:type="dxa"/>
          </w:tcPr>
          <w:p>
            <w:r>
              <w:rPr>
                <w:sz w:val="16"/>
              </w:rPr>
              <w:t xml:space="preserve">Уточняется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Расчётная модель КВАНТ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Зона выпрямителей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Выпрямительные агрегаты 3 шт. на 47,0 кА и магистральные шины — оборудование в границы поставки Лота №3 не входит</w:t>
            </w:r>
          </w:p>
        </w:tc>
        <w:tc>
          <w:tcPr>
            <w:tcW w:w="1200" w:type="dxa"/>
          </w:tcPr>
          <w:p>
            <w:r>
              <w:rPr>
                <w:sz w:val="16"/>
              </w:rPr>
              <w:t xml:space="preserve">Вне границ лота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ИД ч.2 табл. 4.2 (перечень оборудования вне Базового инжиниринга)</w:t>
            </w:r>
          </w:p>
        </w:tc>
      </w:tr>
      <w:tr>
        <w:trPr>
          <w:cantSplit/>
        </w:trPr>
        <w:tc>
          <w:tcPr>
            <w:tcW w:w="1700" w:type="dxa"/>
            <w:shd w:val="clear" w:fill="F7F7F7"/>
          </w:tcPr>
          <w:p>
            <w:r>
              <w:rPr>
                <w:b/>
                <w:sz w:val="16"/>
              </w:rPr>
              <w:t xml:space="preserve">Итого в объём электролизного зала</w:t>
            </w:r>
          </w:p>
        </w:tc>
        <w:tc>
          <w:tcPr>
            <w:tcW w:w="2700" w:type="dxa"/>
            <w:shd w:val="clear" w:fill="F7F7F7"/>
          </w:tcPr>
          <w:p>
            <w:r>
              <w:rPr>
                <w:b/>
                <w:sz w:val="16"/>
              </w:rPr>
              <w:t xml:space="preserve">Принимается для выдачи в раздел отопления и вентиляции; удельная тепловая нагрузка 230 Вт/м² при площади зала 6 840 м² (корпус 36 × 190 м)</w:t>
            </w:r>
          </w:p>
        </w:tc>
        <w:tc>
          <w:tcPr>
            <w:tcW w:w="1200" w:type="dxa"/>
            <w:shd w:val="clear" w:fill="F7F7F7"/>
          </w:tcPr>
          <w:p>
            <w:r>
              <w:rPr>
                <w:b/>
                <w:sz w:val="16"/>
              </w:rPr>
              <w:t xml:space="preserve">1 500–1 600</w:t>
            </w:r>
          </w:p>
        </w:tc>
        <w:tc>
          <w:tcPr>
            <w:tcW w:w="1400" w:type="dxa"/>
            <w:shd w:val="clear" w:fill="F7F7F7"/>
          </w:tcPr>
          <w:p>
            <w:r>
              <w:rPr>
                <w:b/>
                <w:sz w:val="16"/>
              </w:rPr>
              <w:t xml:space="preserve">Постоянный</w:t>
            </w:r>
          </w:p>
        </w:tc>
        <w:tc>
          <w:tcPr>
            <w:tcW w:w="2354" w:type="dxa"/>
            <w:shd w:val="clear" w:fill="F7F7F7"/>
          </w:tcPr>
          <w:p>
            <w:r>
              <w:rPr>
                <w:b/>
                <w:sz w:val="16"/>
              </w:rPr>
              <w:t xml:space="preserve">Расчётная модель КВАНТ</w:t>
            </w:r>
          </w:p>
        </w:tc>
      </w:tr>
    </w:tbl>
    <w:p>
      <w:r>
        <w:rPr>
          <w:color w:val="555555"/>
          <w:sz w:val="18"/>
        </w:rPr>
        <w:t xml:space="preserve">Запись «Учтено в итоге» означает, что вклад позиции входит в итоговую оценку и отдельно не выделяется; «Уточняется» — величина определяется на стадии БИ. Оборудование зоны выпрямителей в границы поставки Лота №3 не входит и учитывается смежным разделом.</w:t>
      </w:r>
    </w:p>
    <w:p>
      <w:pPr>
        <w:pStyle w:val="Heading2"/>
      </w:pPr>
      <w:r>
        <w:rPr>
          <w:b/>
          <w:sz w:val="24"/>
        </w:rPr>
        <w:t xml:space="preserve">3.3 Пояснения к ведомости</w:t>
      </w:r>
    </w:p>
    <w:p>
      <w:r>
        <w:rPr>
          <w:sz w:val="20"/>
        </w:rPr>
        <w:t xml:space="preserve">Определяющей для расчёта воздухообмена является оценка 1 500–1 600 кВт, что соответствует удельной тепловой нагрузке 230 Вт/м² по площади зала. Источник распределён по всей площади рядов ванн, поэтому воздухообмен рассчитывается не по локальному источнику, а по площади и высоте зала с учётом работы бортовых отсосов, которые удаляют часть теплоты вместе с влажным воздухом из-под колпаков.</w:t>
      </w:r>
    </w:p>
    <w:p>
      <w:r>
        <w:rPr>
          <w:sz w:val="20"/>
        </w:rPr>
        <w:t xml:space="preserve">Тепловая нагрузка зависит от плотности тока: при форсировке до номинальных 280 А/м² против фактических 252,7 А/м² джоулево тепловыделение растёт приблизительно пропорционально квадрату плотности тока, то есть примерно на 23 %. Это учтено запасом холодильников контура циркуляции и должно быть учтено запасом систем вентиляции: верхняя граница диапазона принимается с учётом форсированного режима.</w:t>
      </w:r>
    </w:p>
    <w:p>
      <w:pPr>
        <w:pStyle w:val="Heading1"/>
      </w:pPr>
      <w:r>
        <w:rPr>
          <w:b/>
          <w:sz w:val="28"/>
        </w:rPr>
        <w:t xml:space="preserve">4. Выделения вредностей от оборудования</w:t>
      </w:r>
    </w:p>
    <w:p>
      <w:pPr>
        <w:pStyle w:val="Heading2"/>
      </w:pPr>
      <w:r>
        <w:rPr>
          <w:b/>
          <w:sz w:val="24"/>
        </w:rPr>
        <w:t xml:space="preserve">4.1 Перечень контролируемых веществ и гигиенические нормативы</w:t>
      </w:r>
    </w:p>
    <w:p>
      <w:r>
        <w:rPr>
          <w:sz w:val="20"/>
        </w:rPr>
        <w:t xml:space="preserve">Перечень составлен по составам перерабатываемых материалов и растворов из материальных балансов лота. Гигиенические нормативы приведены для воздуха рабочей зоны и используются как целевые показатели при расчёте воздухообмена и при назначении программы производственного контроля.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300"/>
        <w:gridCol w:w="1750"/>
        <w:gridCol w:w="1100"/>
        <w:gridCol w:w="4204"/>
      </w:tblGrid>
      <w:tr>
        <w:trPr>
          <w:tblHeader/>
          <w:cantSplit/>
        </w:trPr>
        <w:tc>
          <w:tcPr>
            <w:tcW w:w="2300" w:type="dxa"/>
            <w:shd w:val="clear" w:fill="EFEFEF"/>
          </w:tcPr>
          <w:p>
            <w:r>
              <w:rPr>
                <w:b/>
                <w:sz w:val="15"/>
              </w:rPr>
              <w:t xml:space="preserve">Вещество или фактор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5"/>
              </w:rPr>
              <w:t xml:space="preserve">Норматив в воздухе рабочей зоны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5"/>
              </w:rPr>
              <w:t xml:space="preserve">Класс опасности</w:t>
            </w:r>
          </w:p>
        </w:tc>
        <w:tc>
          <w:tcPr>
            <w:tcW w:w="4204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 и примечание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6"/>
              </w:rPr>
              <w:t xml:space="preserve">Аэрозоль серной кислоты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1 мг/м³; целевой уровень менее 0,2 мг/м³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4204" w:type="dxa"/>
          </w:tcPr>
          <w:p>
            <w:r>
              <w:rPr>
                <w:sz w:val="16"/>
              </w:rPr>
              <w:t xml:space="preserve">ГОСТ 12.1.005-88; целевой уровень — ИД ч.2 п. 4.2.2. Носитель аэрозоля — кислород, выделяющийся на анодах и уносящий капли электролита с зеркала ванн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6"/>
              </w:rPr>
              <w:t xml:space="preserve">Соединения никеля в аэрозоле электролита в пересчёте на никель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0,005 мг/м³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4204" w:type="dxa"/>
          </w:tcPr>
          <w:p>
            <w:r>
              <w:rPr>
                <w:sz w:val="16"/>
              </w:rPr>
              <w:t xml:space="preserve">ГОСТ 12.1.005-88; канцероген. Лимитирующая вредность зала: содержание никеля в электролите 20 кг/м³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6"/>
              </w:rPr>
              <w:t xml:space="preserve">Соединения меди в аэрозоле электролита в пересчёте на медь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0,5 мг/м³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4204" w:type="dxa"/>
          </w:tcPr>
          <w:p>
            <w:r>
              <w:rPr>
                <w:sz w:val="16"/>
              </w:rPr>
              <w:t xml:space="preserve">ГОСТ 12.1.005-88. Содержание меди в электролите 35–40 кг/м³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6"/>
              </w:rPr>
              <w:t xml:space="preserve">Пары воды (влаговыделения)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Относительная влажность в зале более 75 %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4204" w:type="dxa"/>
          </w:tcPr>
          <w:p>
            <w:r>
              <w:rPr>
                <w:sz w:val="16"/>
              </w:rPr>
              <w:t xml:space="preserve">ИД ч.2, приложение В. Испарение с зеркала электролита при 50 °C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6"/>
              </w:rPr>
              <w:t xml:space="preserve">Постоянное магнитное поле ошиновки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СанПиН 1.2.3685-21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4204" w:type="dxa"/>
          </w:tcPr>
          <w:p>
            <w:r>
              <w:rPr>
                <w:sz w:val="16"/>
              </w:rPr>
              <w:t xml:space="preserve">Ток серий 42–47 кА; уровни на рабочих местах вдоль рядов рассчитываются на стадии БИ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6"/>
              </w:rPr>
              <w:t xml:space="preserve">Тепловыделения от поверхностей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Температура наружной стенки ванны не выше 40 °C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4204" w:type="dxa"/>
          </w:tcPr>
          <w:p>
            <w:r>
              <w:rPr>
                <w:sz w:val="16"/>
              </w:rPr>
              <w:t xml:space="preserve">ИД ч.2, приложение В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4.2 Ведомость источников выделений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1400"/>
        <w:gridCol w:w="2500"/>
        <w:gridCol w:w="1400"/>
        <w:gridCol w:w="1750"/>
        <w:gridCol w:w="2304"/>
      </w:tblGrid>
      <w:tr>
        <w:trPr>
          <w:tblHeader/>
          <w:cantSplit/>
        </w:trPr>
        <w:tc>
          <w:tcPr>
            <w:tcW w:w="1400" w:type="dxa"/>
            <w:shd w:val="clear" w:fill="EFEFEF"/>
          </w:tcPr>
          <w:p>
            <w:r>
              <w:rPr>
                <w:b/>
                <w:sz w:val="15"/>
              </w:rPr>
              <w:t xml:space="preserve">Вещество или фактор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 выделения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5"/>
              </w:rPr>
              <w:t xml:space="preserve">Характер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5"/>
              </w:rPr>
              <w:t xml:space="preserve">Оценка</w:t>
            </w:r>
          </w:p>
        </w:tc>
        <w:tc>
          <w:tcPr>
            <w:tcW w:w="2304" w:type="dxa"/>
            <w:shd w:val="clear" w:fill="EFEFEF"/>
          </w:tcPr>
          <w:p>
            <w:r>
              <w:rPr>
                <w:b/>
                <w:sz w:val="15"/>
              </w:rPr>
              <w:t xml:space="preserve">Требования к местным отсосам и аспирации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6"/>
              </w:rPr>
              <w:t xml:space="preserve">Аэрозоль серной кислоты с растворёнными солями меди и никеля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Зеркало электролита электролизных ванн: кислород, выделяющийся на анодах, уносит капли электролита. Дополнительно — зумпфы, переливные карманы, узел обработки катодов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 при закрытых ваннах; усиливается при вскрытии ванн краном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Целевой уровень в воздухе рабочей зоны менее 0,2 мг/м³ при нормативе 1 мг/м³; интенсивности выделений в единицах массы за час на закрытую и вскрытую ванну — расчёт на стадии БИ после фиксации расхода аспирации</w:t>
            </w:r>
          </w:p>
        </w:tc>
        <w:tc>
          <w:tcPr>
            <w:tcW w:w="2304" w:type="dxa"/>
          </w:tcPr>
          <w:p>
            <w:r>
              <w:rPr>
                <w:sz w:val="16"/>
              </w:rPr>
              <w:t xml:space="preserve">Три барьера: пенообразующая антиаэрозольная добавка в электролит; бортовой отсос и легкосъёмный колпак на каждой из 180 ванн; общеобменная вентиляция повышенной кратности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6"/>
              </w:rPr>
              <w:t xml:space="preserve">Соединения никеля и меди в составе аэрозоля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Те же источники: электролит содержит 20 кг/м³ никеля и 35–40 кг/м³ меди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Лимитирующая вредность зала — соединения никеля при нормативе 0,005 мг/м³; концентрация определяется эффективностью локализации аэрозоля</w:t>
            </w:r>
          </w:p>
        </w:tc>
        <w:tc>
          <w:tcPr>
            <w:tcW w:w="2304" w:type="dxa"/>
          </w:tcPr>
          <w:p>
            <w:r>
              <w:rPr>
                <w:sz w:val="16"/>
              </w:rPr>
              <w:t xml:space="preserve">Определяются требованиями к аэрозолю серной кислоты; дополнительно — контроль воздуха рабочей зоны стационарными постами в зоне рядов и у машины обработки катодов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6"/>
              </w:rPr>
              <w:t xml:space="preserve">Пары воды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Испарение с зеркала электролита при 50 °C — основная часть уносится из-под колпаков системой аспирации; в зал влага поступает при вскрытых ваннах и с открытых зеркал зумпфов и карманов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Постоянный; усиливается при вскрытии ванн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Около 28 обслуживаний в сутки по три подъёма трети матриц; количественная оценка — на стадии БИ по графику вскрытий и площади открытых поверхностей</w:t>
            </w:r>
          </w:p>
        </w:tc>
        <w:tc>
          <w:tcPr>
            <w:tcW w:w="2304" w:type="dxa"/>
          </w:tcPr>
          <w:p>
            <w:r>
              <w:rPr>
                <w:sz w:val="16"/>
              </w:rPr>
              <w:t xml:space="preserve">Поддержание разрежения под колпаками с недостижением точки росы; общеобменная вентиляция с учётом относительной влажности в зале более 75 %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6"/>
              </w:rPr>
              <w:t xml:space="preserve">Пар и аэрозоль промывных растворов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Узел промывки катодосдирочной машины: I ступень 25 м³/ч при 60–80 °C, II ступень 4 м³/ч при 90–115 °C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Периодический — по циклу обработки катодов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Количественная оценка — по данным изготовителя машины</w:t>
            </w:r>
          </w:p>
        </w:tc>
        <w:tc>
          <w:tcPr>
            <w:tcW w:w="2304" w:type="dxa"/>
          </w:tcPr>
          <w:p>
            <w:r>
              <w:rPr>
                <w:sz w:val="16"/>
              </w:rPr>
              <w:t xml:space="preserve">Укрытия узлов промывки и сдирки с местным отсосом; слив промывных растворов в циркуляцию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6"/>
              </w:rPr>
              <w:t xml:space="preserve">Тепло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Наружные стенки ванн, открытая межванновая ошиновка, узел обработки катодов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1 500–1 600 кВт в объём зала; удельно 230 Вт/м²</w:t>
            </w:r>
          </w:p>
        </w:tc>
        <w:tc>
          <w:tcPr>
            <w:tcW w:w="2304" w:type="dxa"/>
          </w:tcPr>
          <w:p>
            <w:r>
              <w:rPr>
                <w:sz w:val="16"/>
              </w:rPr>
              <w:t xml:space="preserve">Общеобменная вентиляция зала; часть теплоты удаляется бортовыми отсосами вместе с влажным воздухом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6"/>
              </w:rPr>
              <w:t xml:space="preserve">Шум и постоянное магнитное поле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Станция сдирки катодосдирочной машины (прокатка и надрыв), краны, насосные; ошиновка серий с током 42–47 кА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Постоянный; шум станции сдирки — периодический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Уровни шума — по паспортам поставщиков; уровни магнитного поля вдоль рядов — расчёт на стадии БИ</w:t>
            </w:r>
          </w:p>
        </w:tc>
        <w:tc>
          <w:tcPr>
            <w:tcW w:w="2304" w:type="dxa"/>
          </w:tcPr>
          <w:p>
            <w:r>
              <w:rPr>
                <w:sz w:val="16"/>
              </w:rPr>
              <w:t xml:space="preserve">Акустические мероприятия по расчёту смежного раздела; маршруты обслуживания и рабочие места назначаются с учётом расчётных уровней магнитного поля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4.3 Влаговыделения</w:t>
      </w:r>
    </w:p>
    <w:p>
      <w:r>
        <w:rPr>
          <w:sz w:val="20"/>
        </w:rPr>
        <w:t xml:space="preserve">Влаговыделения — определяющий фактор при расчёте вентиляции электролизного зала наравне с тепловыделениями. Испарение происходит с зеркала электролита при 50 °C по всей площади 180 ванн; при закрытых колпаках пар удаляется бортовыми отсосами, при вскрытии ванн краном поступает непосредственно в зал. Дополнительные источники — открытые зеркала зумпфов и переливных карманов и узел промывки катодов. Относительная влажность в зале по исходным данным превышает 75 %, что определяет требования к климатическому исполнению оборудования УХЛ3 и к антикоррозионной защите конструкций. Количественная оценка влаговыделений выполняется на стадии БИ по графику вскрытий ванн и площади открытых поверхностей.</w:t>
      </w:r>
    </w:p>
    <w:p>
      <w:pPr>
        <w:pStyle w:val="Heading2"/>
      </w:pPr>
      <w:r>
        <w:rPr>
          <w:b/>
          <w:sz w:val="24"/>
        </w:rPr>
        <w:t xml:space="preserve">4.4 Вещества, отсутствующие в выделениях лота</w:t>
      </w:r>
    </w:p>
    <w:p>
      <w:r>
        <w:rPr>
          <w:sz w:val="20"/>
        </w:rPr>
        <w:t xml:space="preserve">В выделениях отделения отсутствуют диоксид серы и водород: на анодах выделяется кислород, катодный процесс — осаждение меди, выделение водорода при штатных режимах не происходит. Горючие вещества в технологии не применяются; горючая нагрузка помещения определяется полимерными материалами ванн, обрамления матриц и трубопроводов, что учтено категорией В2 по взрывопожарной опасности.</w:t>
      </w:r>
    </w:p>
    <w:p>
      <w:pPr>
        <w:pStyle w:val="Heading1"/>
      </w:pPr>
      <w:r>
        <w:rPr>
          <w:b/>
          <w:sz w:val="28"/>
        </w:rPr>
        <w:t xml:space="preserve">5. Требования к укрытиям, местным отсосам и аспирации</w:t>
      </w:r>
    </w:p>
    <w:p>
      <w:pPr>
        <w:pStyle w:val="Heading2"/>
      </w:pPr>
      <w:r>
        <w:rPr>
          <w:b/>
          <w:sz w:val="24"/>
        </w:rPr>
        <w:t xml:space="preserve">5.1 Принцип локализации выделений</w:t>
      </w:r>
    </w:p>
    <w:p>
      <w:r>
        <w:rPr>
          <w:sz w:val="20"/>
        </w:rPr>
        <w:t xml:space="preserve">Локализация выделений выполняется в первую очередь укрытиями и местными отсосами в местах образования, и только оставшаяся часть выделений ассимилируется общеобменной вентиляцией. Требования к укрытиям формируются Базовым инжинирингом и транслируются в опросные листы и технические условия поставки оборудования; расчёт производительности отсосов и подбор вентиляционного оборудования выполняет смежный проектировщик по настоящим данным.</w:t>
      </w:r>
    </w:p>
    <w:p>
      <w:r>
        <w:rPr>
          <w:sz w:val="20"/>
        </w:rPr>
        <w:t xml:space="preserve">Общие требования к укрытиям: конструкция укрытия обеспечивает разрежение в объёме укрытия при всех режимах работы оборудования; присоединительные патрубки и места подключения воздуховодов назначаются изготовителем оборудования и фиксируются в опросных листах; укрытия не препятствуют обслуживанию, осмотру и ремонту; съёмные элементы фиксируются и имеют уплотнения; воздуховоды выполняются с уклоном и ревизиями, а на участках с влажным или агрессивным воздухом — с дренажом конденсата.</w:t>
      </w:r>
    </w:p>
    <w:p>
      <w:pPr>
        <w:pStyle w:val="Heading2"/>
      </w:pPr>
      <w:r>
        <w:rPr>
          <w:b/>
          <w:sz w:val="24"/>
        </w:rPr>
        <w:t xml:space="preserve">5.2 Перечень укрытий и местных отсосов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500"/>
        <w:gridCol w:w="2500"/>
        <w:gridCol w:w="2300"/>
        <w:gridCol w:w="2054"/>
      </w:tblGrid>
      <w:tr>
        <w:trPr>
          <w:tblHeader/>
          <w:cantSplit/>
        </w:trPr>
        <w:tc>
          <w:tcPr>
            <w:tcW w:w="2500" w:type="dxa"/>
            <w:shd w:val="clear" w:fill="EFEFEF"/>
          </w:tcPr>
          <w:p>
            <w:r>
              <w:rPr>
                <w:b/>
                <w:sz w:val="15"/>
              </w:rPr>
              <w:t xml:space="preserve">Узел (оборудование)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5"/>
              </w:rPr>
              <w:t xml:space="preserve">Тип укрытия и отсоса</w:t>
            </w:r>
          </w:p>
        </w:tc>
        <w:tc>
          <w:tcPr>
            <w:tcW w:w="2300" w:type="dxa"/>
            <w:shd w:val="clear" w:fill="EFEFEF"/>
          </w:tcPr>
          <w:p>
            <w:r>
              <w:rPr>
                <w:b/>
                <w:sz w:val="15"/>
              </w:rPr>
              <w:t xml:space="preserve">Назначение</w:t>
            </w:r>
          </w:p>
        </w:tc>
        <w:tc>
          <w:tcPr>
            <w:tcW w:w="2054" w:type="dxa"/>
            <w:shd w:val="clear" w:fill="EFEFEF"/>
          </w:tcPr>
          <w:p>
            <w:r>
              <w:rPr>
                <w:b/>
                <w:sz w:val="15"/>
              </w:rPr>
              <w:t xml:space="preserve">Граница поставки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Электролизная ванна (180 шт.)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Бортовой отсос по периметру и легкосъёмный колпак</w:t>
            </w:r>
          </w:p>
        </w:tc>
        <w:tc>
          <w:tcPr>
            <w:tcW w:w="2300" w:type="dxa"/>
          </w:tcPr>
          <w:p>
            <w:r>
              <w:rPr>
                <w:sz w:val="16"/>
              </w:rPr>
              <w:t xml:space="preserve">Локализация аэрозоля серной кислоты и влаги; недостижение точки росы под колпаком</w:t>
            </w:r>
          </w:p>
        </w:tc>
        <w:tc>
          <w:tcPr>
            <w:tcW w:w="2054" w:type="dxa"/>
          </w:tcPr>
          <w:p>
            <w:r>
              <w:rPr>
                <w:sz w:val="16"/>
              </w:rPr>
              <w:t xml:space="preserve">Лот №3 — 180 комплектов укрытий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Сборный воздуховод бортовых отсосов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Воздуховод в межрядном пространстве, скорость 12–15 м/с, материал полипропилен или стеклопластик, промывочные форсунки и дренаж конденсата в циркуляцию</w:t>
            </w:r>
          </w:p>
        </w:tc>
        <w:tc>
          <w:tcPr>
            <w:tcW w:w="2300" w:type="dxa"/>
          </w:tcPr>
          <w:p>
            <w:r>
              <w:rPr>
                <w:sz w:val="16"/>
              </w:rPr>
              <w:t xml:space="preserve">Транспортирование влажного кислого воздуха без накопления сухих солей</w:t>
            </w:r>
          </w:p>
        </w:tc>
        <w:tc>
          <w:tcPr>
            <w:tcW w:w="2054" w:type="dxa"/>
          </w:tcPr>
          <w:p>
            <w:r>
              <w:rPr>
                <w:sz w:val="16"/>
              </w:rPr>
              <w:t xml:space="preserve">Лот №3 — требования и компоновка; система аспирации — смежный проектировщик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Роботизированная катодосдирочная машина: узлы промывки и сдирки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Укрытия узлов с местным отсосом</w:t>
            </w:r>
          </w:p>
        </w:tc>
        <w:tc>
          <w:tcPr>
            <w:tcW w:w="2300" w:type="dxa"/>
          </w:tcPr>
          <w:p>
            <w:r>
              <w:rPr>
                <w:sz w:val="16"/>
              </w:rPr>
              <w:t xml:space="preserve">Локализация пара и аэрозоля промывных растворов 60–115 °C</w:t>
            </w:r>
          </w:p>
        </w:tc>
        <w:tc>
          <w:tcPr>
            <w:tcW w:w="2054" w:type="dxa"/>
          </w:tcPr>
          <w:p>
            <w:r>
              <w:rPr>
                <w:sz w:val="16"/>
              </w:rPr>
              <w:t xml:space="preserve">Лот №3 совместно с изготовителем машины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Зумпфы, переливные карманы, узел приготовления коллоидной добавки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Местные отсосы от открытых зеркал и загрузочных проёмов</w:t>
            </w:r>
          </w:p>
        </w:tc>
        <w:tc>
          <w:tcPr>
            <w:tcW w:w="2300" w:type="dxa"/>
          </w:tcPr>
          <w:p>
            <w:r>
              <w:rPr>
                <w:sz w:val="16"/>
              </w:rPr>
              <w:t xml:space="preserve">Локализация аэрозоля и пыли реагентов</w:t>
            </w:r>
          </w:p>
        </w:tc>
        <w:tc>
          <w:tcPr>
            <w:tcW w:w="2054" w:type="dxa"/>
          </w:tcPr>
          <w:p>
            <w:r>
              <w:rPr>
                <w:sz w:val="16"/>
              </w:rPr>
              <w:t xml:space="preserve">Определяется на стадии БИ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Шламовый участок (вакуум-площадка нутч-фильтра)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Укрытие с отсосом</w:t>
            </w:r>
          </w:p>
        </w:tc>
        <w:tc>
          <w:tcPr>
            <w:tcW w:w="2300" w:type="dxa"/>
          </w:tcPr>
          <w:p>
            <w:r>
              <w:rPr>
                <w:sz w:val="16"/>
              </w:rPr>
              <w:t xml:space="preserve">Локализация аэрозоля при выгрузке свинцового шлама</w:t>
            </w:r>
          </w:p>
        </w:tc>
        <w:tc>
          <w:tcPr>
            <w:tcW w:w="2054" w:type="dxa"/>
          </w:tcPr>
          <w:p>
            <w:r>
              <w:rPr>
                <w:sz w:val="16"/>
              </w:rPr>
              <w:t xml:space="preserve">Определяется на стадии БИ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5.3 Очистка аспирационного воздуха</w:t>
      </w:r>
    </w:p>
    <w:p>
      <w:r>
        <w:rPr>
          <w:sz w:val="20"/>
        </w:rPr>
        <w:t xml:space="preserve">Аспирационный воздух от 180 точек отсоса очищается мокрым способом в скруббере; сама система аспирации и газоочистки в границы поставки Лота №3 не входит и выполняется смежным проектировщиком. Настоящий документ выдаёт для неё исходные данные: число и размещение точек отсоса, конструкцию укрытий, состав загрязнителя (аэрозоль электролита с содержанием меди 35–40 и никеля 20 кг/м³), требование недостижения точки росы под колпаком и требование периодической промывки коллекторов водой против накопления сухих солей со сливом промывных растворов в буферную ёмкость или в питание скруббера. Расход аспирации от закрытой и вскрытой ванны исходными данными не задан и определяется совместно со смежным проектировщиком.</w:t>
      </w:r>
    </w:p>
    <w:p>
      <w:pPr>
        <w:pStyle w:val="Heading1"/>
      </w:pPr>
      <w:r>
        <w:rPr>
          <w:b/>
          <w:sz w:val="28"/>
        </w:rPr>
        <w:t xml:space="preserve">6. Исходные данные для раздела отопления и вентиляции</w:t>
      </w:r>
    </w:p>
    <w:p>
      <w:pPr>
        <w:pStyle w:val="Heading2"/>
      </w:pPr>
      <w:r>
        <w:rPr>
          <w:b/>
          <w:sz w:val="24"/>
        </w:rPr>
        <w:t xml:space="preserve">6.1 Характеристика помещений</w:t>
      </w:r>
    </w:p>
    <w:p>
      <w:r>
        <w:rPr>
          <w:sz w:val="20"/>
        </w:rPr>
        <w:t xml:space="preserve">Категории помещений по взрывопожарной и пожарной опасности приняты предварительно и подтверждаются расчётом по СП 12.13130.2009 после фиксации состава оборудования и объёмов горючих материалов. Расчётные параметры внутреннего воздуха, не заданные исходными данными, назначаются смежным разделом по категории работ.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200"/>
        <w:gridCol w:w="1350"/>
        <w:gridCol w:w="3200"/>
        <w:gridCol w:w="2604"/>
      </w:tblGrid>
      <w:tr>
        <w:trPr>
          <w:tblHeader/>
          <w:cantSplit/>
        </w:trPr>
        <w:tc>
          <w:tcPr>
            <w:tcW w:w="2200" w:type="dxa"/>
            <w:shd w:val="clear" w:fill="EFEFEF"/>
          </w:tcPr>
          <w:p>
            <w:r>
              <w:rPr>
                <w:b/>
                <w:sz w:val="15"/>
              </w:rPr>
              <w:t xml:space="preserve">Помещение (зона)</w:t>
            </w:r>
          </w:p>
        </w:tc>
        <w:tc>
          <w:tcPr>
            <w:tcW w:w="1350" w:type="dxa"/>
            <w:shd w:val="clear" w:fill="EFEFEF"/>
          </w:tcPr>
          <w:p>
            <w:r>
              <w:rPr>
                <w:b/>
                <w:sz w:val="15"/>
              </w:rPr>
              <w:t xml:space="preserve">Категория по СП 12.13130</w:t>
            </w:r>
          </w:p>
        </w:tc>
        <w:tc>
          <w:tcPr>
            <w:tcW w:w="3200" w:type="dxa"/>
            <w:shd w:val="clear" w:fill="EFEFEF"/>
          </w:tcPr>
          <w:p>
            <w:r>
              <w:rPr>
                <w:b/>
                <w:sz w:val="15"/>
              </w:rPr>
              <w:t xml:space="preserve">Характеристика среды</w:t>
            </w:r>
          </w:p>
        </w:tc>
        <w:tc>
          <w:tcPr>
            <w:tcW w:w="2604" w:type="dxa"/>
            <w:shd w:val="clear" w:fill="EFEFEF"/>
          </w:tcPr>
          <w:p>
            <w:r>
              <w:rPr>
                <w:b/>
                <w:sz w:val="15"/>
              </w:rPr>
              <w:t xml:space="preserve">Особенности режима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Электролизный зал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В2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Химически активная среда: аэрозоль серной кислоты с растворёнными солями меди и никеля; относительная влажность более 75 %; постоянное магнитное поле вдоль рядов ошиновки; кислотостойкие полы с бортиками и зумпфами</w:t>
            </w:r>
          </w:p>
        </w:tc>
        <w:tc>
          <w:tcPr>
            <w:tcW w:w="2604" w:type="dxa"/>
          </w:tcPr>
          <w:p>
            <w:r>
              <w:rPr>
                <w:sz w:val="16"/>
              </w:rPr>
              <w:t xml:space="preserve">Круглосуточный, 358 суток; температура +12…+24 °C; климатическое исполнение оборудования УХЛ3 по ГОСТ 15150-69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Зона обработки катодов (катодосдирочная машина, пакетирование)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Уточняется расчётом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Пар и аэрозоль промывных растворов 60–115 °C; шум станции сдирки</w:t>
            </w:r>
          </w:p>
        </w:tc>
        <w:tc>
          <w:tcPr>
            <w:tcW w:w="2604" w:type="dxa"/>
          </w:tcPr>
          <w:p>
            <w:r>
              <w:rPr>
                <w:sz w:val="16"/>
              </w:rPr>
              <w:t xml:space="preserve">Круглосуточный; персонал 1 человек при автоматической работе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Баковое хозяйство и узел приготовления реагентов (смежный пролёт)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Уточняется расчётом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Аэрозоль серной кислоты; открытые зеркала растворов при 50 °C; пыль реагентов при приготовлении добавки</w:t>
            </w:r>
          </w:p>
        </w:tc>
        <w:tc>
          <w:tcPr>
            <w:tcW w:w="2604" w:type="dxa"/>
          </w:tcPr>
          <w:p>
            <w:r>
              <w:rPr>
                <w:sz w:val="16"/>
              </w:rPr>
              <w:t xml:space="preserve">Круглосуточный; отметка ниже ванн для самотёчного слива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Шламовый участок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Уточняется расчётом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Свинцовый шлам влажностью 20–30 % с содержанием свинца около 50 %; аэрозоль при выгрузке</w:t>
            </w:r>
          </w:p>
        </w:tc>
        <w:tc>
          <w:tcPr>
            <w:tcW w:w="2604" w:type="dxa"/>
          </w:tcPr>
          <w:p>
            <w:r>
              <w:rPr>
                <w:sz w:val="16"/>
              </w:rPr>
              <w:t xml:space="preserve">Периодический — чистка ванн не чаще одного раза в год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Зона выпрямителей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Уточняется расчётом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Тепловыделения выпрямительных агрегатов и магистральных шин; оборудование вне границ поставки лота</w:t>
            </w:r>
          </w:p>
        </w:tc>
        <w:tc>
          <w:tcPr>
            <w:tcW w:w="2604" w:type="dxa"/>
          </w:tcPr>
          <w:p>
            <w:r>
              <w:rPr>
                <w:sz w:val="16"/>
              </w:rPr>
              <w:t xml:space="preserve">Круглосуточный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6.2 Требования к системам отопления и вентиляции</w:t>
      </w:r>
    </w:p>
    <w:p>
      <w:r>
        <w:rPr>
          <w:sz w:val="20"/>
        </w:rPr>
        <w:t xml:space="preserve">— Ассимиляция теплоизбытков электролизного зала: расчётная тепловая нагрузка 1 500–1 600 кВт, удельно 230 Вт/м² при площади зала 6 840 м²; в расчёт принимается верхняя граница с учётом возможной форсировки плотности тока до 280 А/м².</w:t>
      </w:r>
    </w:p>
    <w:p>
      <w:r>
        <w:rPr>
          <w:sz w:val="20"/>
        </w:rPr>
        <w:t xml:space="preserve">— Поддержание температуры воздуха в зале +12…+24 °C и учёт относительной влажности более 75 % по исходным данным.</w:t>
      </w:r>
    </w:p>
    <w:p>
      <w:r>
        <w:rPr>
          <w:sz w:val="20"/>
        </w:rPr>
        <w:t xml:space="preserve">— Общеобменная вентиляция повышенной кратности как третий барьер локализации аэрозоля серной кислоты — после антиаэрозольной добавки и укрытий ванн; целевая концентрация в воздухе рабочей зоны менее 0,2 мг/м³.</w:t>
      </w:r>
    </w:p>
    <w:p>
      <w:r>
        <w:rPr>
          <w:sz w:val="20"/>
        </w:rPr>
        <w:t xml:space="preserve">— Согласование расхода бортовых отсосов ванн с расходом общеобменной вентиляции: бортовые отсосы удаляют часть теплоты и влаги, что учитывается в балансе воздухообмена зала.</w:t>
      </w:r>
    </w:p>
    <w:p>
      <w:r>
        <w:rPr>
          <w:sz w:val="20"/>
        </w:rPr>
        <w:t xml:space="preserve">— Коррозионностойкое исполнение вентиляционного оборудования, воздуховодов и строительных конструкций зала; кислотозащита по СП 28.13330.</w:t>
      </w:r>
    </w:p>
    <w:p>
      <w:r>
        <w:rPr>
          <w:sz w:val="20"/>
        </w:rPr>
        <w:t xml:space="preserve">— Отопление зала и воздушно-тепловые завесы ворот передаточных проёмов к складу готовой продукции — по общим для площадки климатическим параметрам.</w:t>
      </w:r>
    </w:p>
    <w:p>
      <w:r>
        <w:rPr>
          <w:sz w:val="20"/>
        </w:rPr>
        <w:t xml:space="preserve">— Самостоятельные системы зоны обработки катодов и бакового хозяйства с учётом выделений промывных растворов и открытых зеркал.</w:t>
      </w:r>
    </w:p>
    <w:p>
      <w:pPr>
        <w:pStyle w:val="Heading2"/>
      </w:pPr>
      <w:r>
        <w:rPr>
          <w:b/>
          <w:sz w:val="24"/>
        </w:rPr>
        <w:t xml:space="preserve">6.3 Состав передаваемых данных</w:t>
      </w:r>
    </w:p>
    <w:p>
      <w:r>
        <w:rPr>
          <w:sz w:val="20"/>
        </w:rPr>
        <w:t xml:space="preserve">В раздел отопления и вентиляции передаются следующие материалы настоящего документа. Передача выполняется в составе выпуска Ревизии 0 и повторяется итерацией после получения технических предложений изготовителей.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100"/>
        <w:gridCol w:w="6254"/>
      </w:tblGrid>
      <w:tr>
        <w:trPr>
          <w:tblHeader/>
          <w:cantSplit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5"/>
              </w:rPr>
              <w:t xml:space="preserve">Материал</w:t>
            </w:r>
          </w:p>
        </w:tc>
        <w:tc>
          <w:tcPr>
            <w:tcW w:w="6254" w:type="dxa"/>
            <w:shd w:val="clear" w:fill="EFEFEF"/>
          </w:tcPr>
          <w:p>
            <w:r>
              <w:rPr>
                <w:b/>
                <w:sz w:val="15"/>
              </w:rPr>
              <w:t xml:space="preserve">Состав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Ведомость тепловыделений</w:t>
            </w:r>
          </w:p>
        </w:tc>
        <w:tc>
          <w:tcPr>
            <w:tcW w:w="6254" w:type="dxa"/>
          </w:tcPr>
          <w:p>
            <w:r>
              <w:rPr>
                <w:sz w:val="17"/>
              </w:rPr>
              <w:t xml:space="preserve">Место, источник, величина в киловаттах, характер выделения, источник оценки — по разделу тепловыделений настоящего документа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Перечень контролируемых вредных веществ</w:t>
            </w:r>
          </w:p>
        </w:tc>
        <w:tc>
          <w:tcPr>
            <w:tcW w:w="6254" w:type="dxa"/>
          </w:tcPr>
          <w:p>
            <w:r>
              <w:rPr>
                <w:sz w:val="17"/>
              </w:rPr>
              <w:t xml:space="preserve">Вещество, гигиенический норматив в воздухе рабочей зоны, класс опасности, целевая концентрация — по разделу вредностей настоящего документа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Ведомость источников выделений</w:t>
            </w:r>
          </w:p>
        </w:tc>
        <w:tc>
          <w:tcPr>
            <w:tcW w:w="6254" w:type="dxa"/>
          </w:tcPr>
          <w:p>
            <w:r>
              <w:rPr>
                <w:sz w:val="17"/>
              </w:rPr>
              <w:t xml:space="preserve">Источник, характер выделения, оценка, требования к локализации — по разделу вредностей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Перечень укрытий и местных отсосов</w:t>
            </w:r>
          </w:p>
        </w:tc>
        <w:tc>
          <w:tcPr>
            <w:tcW w:w="6254" w:type="dxa"/>
          </w:tcPr>
          <w:p>
            <w:r>
              <w:rPr>
                <w:sz w:val="17"/>
              </w:rPr>
              <w:t xml:space="preserve">Узел, тип укрытия, назначение, граница поставки — по разделу локализации выделений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Характеристика помещений</w:t>
            </w:r>
          </w:p>
        </w:tc>
        <w:tc>
          <w:tcPr>
            <w:tcW w:w="6254" w:type="dxa"/>
          </w:tcPr>
          <w:p>
            <w:r>
              <w:rPr>
                <w:sz w:val="17"/>
              </w:rPr>
              <w:t xml:space="preserve">Категория по взрывопожарной опасности, характеристика среды, режим работы, расчётные параметры воздуха — по разделу исходных данных для отопления и вентиляции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Влаговыделения</w:t>
            </w:r>
          </w:p>
        </w:tc>
        <w:tc>
          <w:tcPr>
            <w:tcW w:w="6254" w:type="dxa"/>
          </w:tcPr>
          <w:p>
            <w:r>
              <w:rPr>
                <w:sz w:val="17"/>
              </w:rPr>
              <w:t xml:space="preserve">Перечень источников и площадей открытых поверхностей; количественная оценка выполняется на стадии БИ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Физические факторы</w:t>
            </w:r>
          </w:p>
        </w:tc>
        <w:tc>
          <w:tcPr>
            <w:tcW w:w="6254" w:type="dxa"/>
          </w:tcPr>
          <w:p>
            <w:r>
              <w:rPr>
                <w:sz w:val="17"/>
              </w:rPr>
              <w:t xml:space="preserve">Источники шума, вибрации, теплового облучения и магнитных полей с целевыми показателями — по соответствующему разделу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7. Данные для раздела охраны окружающей среды</w:t>
      </w:r>
    </w:p>
    <w:p>
      <w:pPr>
        <w:pStyle w:val="Heading2"/>
      </w:pPr>
      <w:r>
        <w:rPr>
          <w:b/>
          <w:sz w:val="24"/>
        </w:rPr>
        <w:t xml:space="preserve">7.1 Выбросы в атмосферу</w:t>
      </w:r>
    </w:p>
    <w:p>
      <w:r>
        <w:rPr>
          <w:sz w:val="20"/>
        </w:rPr>
        <w:t xml:space="preserve">Организованный источник отделения — выхлоп системы аспирации ванн после мокрой очистки; сама система аспирации и очистки в границы поставки лота не входит. Загрязнитель — аэрозоль электролита: серная кислота с растворёнными медью 35–40 и никелем 20 кг/м³. Количественные показатели до и после очистки определяются после фиксации расхода аспирации и коэффициента очистки скруббера по аналогам — это задание на стыке с смежным проектировщиком.</w:t>
      </w:r>
    </w:p>
    <w:p>
      <w:r>
        <w:rPr>
          <w:sz w:val="20"/>
        </w:rPr>
        <w:t xml:space="preserve">Неорганизованный источник — выброс общеобменной вентиляции зала: при целевой концентрации аэрозоля серной кислоты в воздухе рабочей зоны менее 0,2 мг/м³ масса выброса пропорциональна воздухообмену, который определяется смежным разделом; данные передаются в раздел охраны окружающей среды после расчёта воздухообмена. Режим работы источников — 8 584,8 ч в году.</w:t>
      </w:r>
    </w:p>
    <w:p>
      <w:pPr>
        <w:pStyle w:val="Heading2"/>
      </w:pPr>
      <w:r>
        <w:rPr>
          <w:b/>
          <w:sz w:val="24"/>
        </w:rPr>
        <w:t xml:space="preserve">7.2 Прочие среды воздействия</w:t>
      </w:r>
    </w:p>
    <w:p>
      <w:r>
        <w:rPr>
          <w:sz w:val="20"/>
        </w:rPr>
        <w:t xml:space="preserve">По прочим средам воздействия: прямых сбросов в водные объекты отделение не имеет — контур растворов замкнут, промывные воды машины обработки катодов и системы аспирации и зумпфовые воды возвращаются в циркуляционные баки. Отходы: свинцовый шлам ванн 25,9–30 т сухих в год с содержанием свинца около 50 %, отработанные аноды около 149,5 т в год, отбракованные матрицы до 58–63 т в год, отработанный полипропиленовый профиль обрамления до 2,77 т в год, тара реагентов.</w:t>
      </w:r>
    </w:p>
    <w:p>
      <w:r>
        <w:rPr>
          <w:color w:val="555555"/>
          <w:sz w:val="18"/>
        </w:rPr>
        <w:t xml:space="preserve">Расчёт рассеивания, нормативы допустимых выбросов и разделы охраны окружающей среды проектной документации выполняются генеральным проектировщиком; настоящий документ передаёт для них предварительные расчётные данные по балансам лота.</w:t>
      </w:r>
    </w:p>
    <w:p>
      <w:pPr>
        <w:pStyle w:val="Heading1"/>
      </w:pPr>
      <w:r>
        <w:rPr>
          <w:b/>
          <w:sz w:val="28"/>
        </w:rPr>
        <w:t xml:space="preserve">8. Физические факторы и контроль воздуха рабочей зоны</w:t>
      </w:r>
    </w:p>
    <w:p>
      <w:pPr>
        <w:pStyle w:val="Heading2"/>
      </w:pPr>
      <w:r>
        <w:rPr>
          <w:b/>
          <w:sz w:val="24"/>
        </w:rPr>
        <w:t xml:space="preserve">8.1 Физические факторы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1700"/>
        <w:gridCol w:w="3200"/>
        <w:gridCol w:w="2100"/>
        <w:gridCol w:w="2354"/>
      </w:tblGrid>
      <w:tr>
        <w:trPr>
          <w:tblHeader/>
          <w:cantSplit/>
        </w:trPr>
        <w:tc>
          <w:tcPr>
            <w:tcW w:w="1700" w:type="dxa"/>
            <w:shd w:val="clear" w:fill="EFEFEF"/>
          </w:tcPr>
          <w:p>
            <w:r>
              <w:rPr>
                <w:b/>
                <w:sz w:val="15"/>
              </w:rPr>
              <w:t xml:space="preserve">Фактор</w:t>
            </w:r>
          </w:p>
        </w:tc>
        <w:tc>
          <w:tcPr>
            <w:tcW w:w="3200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  <w:tc>
          <w:tcPr>
            <w:tcW w:w="2100" w:type="dxa"/>
            <w:shd w:val="clear" w:fill="EFEFEF"/>
          </w:tcPr>
          <w:p>
            <w:r>
              <w:rPr>
                <w:b/>
                <w:sz w:val="15"/>
              </w:rPr>
              <w:t xml:space="preserve">Целевой показатель</w:t>
            </w:r>
          </w:p>
        </w:tc>
        <w:tc>
          <w:tcPr>
            <w:tcW w:w="2354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Шум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Станция сдирки катодосдирочной машины (прокатка и надрыв), краны, насосные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По нормам для рабочих мест; уровни — по паспортам поставщиков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ГОСТ 12.1.003-2014; СанПиН 1.2.3685-21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Постоянное магнитное поле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Ошиновка серий с током 42–47 кА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По нормам для рабочих мест; расчёт уровней вдоль рядов — на стадии БИ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СанПиН 1.2.3685-21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Вибрация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Краны, насосные, станция сдирки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По нормам для рабочих мест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ГОСТ 12.1.012-2004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Тепловое облучение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Наружные стенки ванн и узел промывки катодов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Температура стенки ванны не выше 40 °C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ИД ч.2, приложение В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8.2 Контроль воздуха рабочей зоны</w:t>
      </w:r>
    </w:p>
    <w:p>
      <w:r>
        <w:rPr>
          <w:sz w:val="20"/>
        </w:rPr>
        <w:t xml:space="preserve">Контроль воздуха рабочей зоны организуется стационарными постами в зоне рядов ванн и у машины обработки катодов и переносными приборами; перечень контролируемых веществ — аэрозоль серной кислоты, соединения никеля и меди. Программа производственного контроля разрабатывается на стадии основных технических решений. Подтверждение расчётных интенсивностей выделений выполняется замерами при пусконаладочных работах.</w:t>
      </w:r>
    </w:p>
    <w:p>
      <w:pPr>
        <w:pStyle w:val="Heading1"/>
      </w:pPr>
      <w:r>
        <w:rPr>
          <w:b/>
          <w:sz w:val="28"/>
        </w:rPr>
        <w:t xml:space="preserve">9. Открытые позиции</w:t>
      </w:r>
    </w:p>
    <w:p>
      <w:r>
        <w:rPr>
          <w:sz w:val="20"/>
        </w:rPr>
        <w:t xml:space="preserve">Ниже перечислено то, что на стадии Базового инжиниринга не может быть определено окончательно и требует данных Заказчика, результатов расчётов текущей стадии либо технических предложений изготовителей. Каждая позиция закрывается до выдачи разделов отопления и вентиляции и охраны окружающей среды проектной документации.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Расход аспирации от ванны (закрытой и вскрытой) — совместное определение со смежным проектировщиком (исходными данными не задан)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Интенсивности выделений серной кислоты, меди и никеля в граммах в час — расчёт текущей стадии после фиксации аспирации; подтверждение замерами при пусконаладочных работах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Фактический коэффициент теплоотдачи и температуры стенок ванн — подтверждение тепловизионным обследованием при пусконаладочных работах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Расход и состав выхлопа аспирации до и после скруббера — совместно со смежным проектировщиком (вне границ поставки лота)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Количественная оценка влаговыделений в зал после фиксации графика вскрытий ванн и площади открытых поверхностей зумпфов и переливных карманов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Расчёт уровней постоянного магнитного поля на рабочих местах вдоль рядов ошиновки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Тепловыделение циркуляционных баков и узлов реагентов после фиксации конструкции перекрытия баков</w:t>
      </w:r>
    </w:p>
    <w:sectPr>
      <w:headerReference w:type="default" r:id="rIdHdr"/>
      <w:footerReference w:type="default" r:id="rIdFtr"/>
      <w:pgSz w:w="11906" w:h="16838"/>
      <w:pgMar w:top="1418" w:right="1134" w:bottom="1247" w:left="1418" w:header="567" w:footer="567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/>
    </w:pPr>
  </w:p>
  <w:tbl>
    <w:tblPr>
      <w:tblW w:w="9636" w:type="dxa"/>
      <w:tblInd w:w="0" w:type="dxa"/>
      <w:tblBorders>
        <w:top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3600"/>
      <w:gridCol w:w="3200"/>
      <w:gridCol w:w="2836"/>
    </w:tblGrid>
    <w:tr>
      <w:tc>
        <w:tcPr>
          <w:tcW w:w="36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ООО «КВАНТ» · КГМК.ОВЭ-75</w:t>
          </w:r>
        </w:p>
      </w:tc>
      <w:tc>
        <w:tcPr>
          <w:tcW w:w="3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center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Эскизная проработка — не для строительства</w:t>
          </w:r>
        </w:p>
      </w:tc>
      <w:tc>
        <w:tcPr>
          <w:tcW w:w="28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jc w:val="right"/>
            <w:spacing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Лист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rFonts w:ascii="Arial" w:hAnsi="Arial" w:cs="Arial"/>
              <w:color w:val="333333"/>
              <w:sz w:val="16"/>
              <w:szCs w:val="16"/>
            </w:rPr>
            <w:t xml:space="preserve"> из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6" w:type="dxa"/>
      <w:tblInd w:w="0" w:type="dxa"/>
      <w:tblBorders>
        <w:bottom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7200"/>
      <w:gridCol w:w="2436"/>
    </w:tblGrid>
    <w:tr>
      <w:tc>
        <w:tcPr>
          <w:tcW w:w="7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ОВЭ75-БИ-Л3-ТВ · Тепловыделения и выделения вредностей от оборудования (данные для смежных разделов)</w:t>
          </w:r>
          <w:r>
            <w:rPr>
              <w:rFonts w:ascii="Arial" w:hAnsi="Arial" w:cs="Arial"/>
              <w:color w:val="777777"/>
              <w:sz w:val="16"/>
              <w:szCs w:val="16"/>
            </w:rPr>
            <w:t xml:space="preserve"> · Лот №3 «Отделение электроэкстракции»</w:t>
          </w:r>
        </w:p>
      </w:tc>
      <w:tc>
        <w:tcPr>
          <w:tcW w:w="24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right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Ревизия 0</w:t>
          </w:r>
        </w:p>
      </w:tc>
    </w:tr>
  </w:tbl>
  <w:p>
    <w:pPr>
      <w:spacing w:after="0"/>
    </w:pP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ОВЭ75-БИ-Л3-ТВ · Тепловыделения и выделения вредностей от оборудования (данные для смежных разделов)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