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2. 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12,69 %,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4. 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**усвоенный кислород дутья**,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6. 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8. 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9. 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**предварительные расчётные для раздела ОВОС**;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11. 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**предварительные расчётные данные**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**Атмосферный воздух.**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**≤2,8 т/год**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**выбросом цеха не является**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**Водопотребление и сбросы.**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**непрерывная продувка КУ 0,205/0,324 м³/ч = 1 624/2 566 м³/год**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**Отходы и физические воздействия.**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режимов (МЛ-советчик).**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14. 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**предварительный перечень трубопроводной арматуры и приборов КИПиА** (line list и перечень по предварительным P&amp;ID) с договорной точностью **±20–30 % по количеству** и **спецификация на критичные и длинноцикловые приборы**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**Line list.**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**120–160 линий**.</w:t>
      </w:r>
    </w:p>
    <w:p>
      <w:r>
        <w:rPr>
          <w:sz w:val="20"/>
        </w:rPr>
        <w:t xml:space="preserve">**Арматура.**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**400–500 единиц** (±20–30 %).</w:t>
      </w:r>
    </w:p>
    <w:p>
      <w:r>
        <w:rPr>
          <w:sz w:val="20"/>
        </w:rPr>
        <w:t xml:space="preserve">**Приборы.**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**350–450 единиц** (±20–30 %).</w:t>
      </w:r>
    </w:p>
    <w:p>
      <w:r>
        <w:rPr>
          <w:sz w:val="20"/>
        </w:rPr>
        <w:t xml:space="preserve">**Спецификация критичных и длинноцикловых приборов**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17. 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18. 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19. 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20. 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**индивидуальные испытания** механизмов (холостой ход, направления вращения, блокировки) → **холодные испытания трактов** → **сушка и разогрев футеровки печи** → **комплексное опробование под нагрузкой 72 ч** → **пусконаладка с выводом на режим** → **гарантийные испытания**.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**Сушка и разогрев футеровки печи КС.**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**Котёл-утилизатор и паровой контур.** Гидравлическое испытание после монтажа, до нанесения изоляции и обмуровки: пробное давление по ФНП № 536 — ориентир 1,25 × расчётного 1,9 МПа ≈ **2,38 МПа**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**Холодные испытания и пусконаладка газоочистки.**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**Комплексное опробование и гарантийные испытания.**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**3 балансовых периода по 72 ч**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23. 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**9 фланцевых позиций**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**Входы**: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**Выходы**: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**Организационно-технические интерфейсы.**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25. 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**бюджетные ТКП по основному оборудованию**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**бюджетная оценка общей стоимости комплектной поставки**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**отдельным этапом** календарного плана. Действующая редакция требований — **ТЗ на ЦИМ ред. 2 от 25.08.2026**: этап определён как «Разработка ЦИМ стадии „базовый инжиниринг“», целевое назначение — **проверка коллизий на стадии БИ**;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**Уровень проработки**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**зоны обслуживания и выемки объёмными элементами**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**Среда и обмен.**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**1 раз в 4 недели**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**Состав передачи**: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27. 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**Этап 1 (3 мес) — предварительный отчёт БИ**: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**Этап 2 — итоговый отчёт**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**Ведомость выпускаемой документации**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**Предварительная ведомость листов графической части**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**ориентировочно 40–55 листов**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pPr>
        <w:pStyle w:val="Heading2"/>
      </w:pPr>
      <w:r>
        <w:rPr>
          <w:b/>
          <w:sz w:val="26"/>
        </w:rPr>
        <w:t xml:space="preserve">28. 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цеха без перепроектирования. Принцип: всё, что требует врезок, гильз, площадок и каналов, проектируется и выполняется при строительстве — дооснащение действующего производства обходится в 3–5 раз дороже закладки в проект и требует остановок (врезка в работающую печь исключена, установка гильз после кладки футеровки невозможна). Все позиции раздела — строки спецификаций, опросных листов, ведомостей сигналов и заданий смежникам; строительных объёмов они не добавляют: каналы и теги укладываются в нормативный запас ввода-вывода 30 % по Прил. №5, площадки и врезки выполняются в составе основных конструкций.</w:t>
      </w:r>
    </w:p>
    <w:p>
      <w:r>
        <w:rPr>
          <w:sz w:val="20"/>
        </w:rPr>
        <w:t xml:space="preserve">Состав закладок — шесть групп. **(1) КИП печи и газового тракта**: закладные гильзы термопар слоя и кладки, резервные импульсные точки давления с быстрыми каналами, поверхностные термопары холодных точек и штуцера под зонды коррозии. **(2) Газоанализ и учёт**: второй пост SO₂/O₂ перед СКЦ, узел технического учёта кислорода, теплосчётчики шести контуров — с аттестацией коммерческих измерительных каналов. **(3) Готовность АСУТП к надстройкам оптимизации**: шаблон внешней уставки по всем главным контурам, пара серверов оптимизации, шлюз OPC UA, секундный архив с единой синхронизацией времени. **(4) Мониторинг состояния машин**: площадки под вибродатчики, измерительные трансформаторы тока фидеров 6 кВ, типовой раздел опросных листов динамического оборудования. **(5) Пробоотбор и экспресс-лаборатория** обжигового передела. **(6) Закладные под будущие установки**: байпас РОУ под противодавленческую паровую машину, измерительное сечение свечи аспирации, место конвейерного анализатора шихты. ЧРП дымососа и воздуходувки фиксируются обязательными решениями, а не опциями.</w:t>
      </w:r>
    </w:p>
    <w:p>
      <w:r>
        <w:rPr>
          <w:sz w:val="20"/>
        </w:rPr>
        <w:t xml:space="preserve">Требования к комплектным поставкам (гильзы печи, контроллеры агрегатов питания ЭФ, площадки под датчики на машинах) передаются опросными листами до размещения заказов длинноцикловых позиций (печь 12–24 мес, электрофильтр 9–14 мес) — дозаказ после кладки футеровки или размещения заказа аппарата невозможен. Основание раздела — «Реестр идей эффективности ред. 2.0» (раздел 1 — базовый состав, раздел 2 — подготовительные закладки опций); ссылки на пункты приведены построчно.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слоя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8–10 шт., два уровня × четыре радиуса; в задание на проект футеровки до его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кладки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12–18 шт. по 2–3 поясам, с кабельными выводами; в объём изготовителя печи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Резервные импульсные точки давления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слой и газовая коробка, продувка воздухом КИП 0,3–0,5 МПа; каналы АЦП не ниже 100 Гц; 2 площадки под акселерометры на корпусе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Второй пост газоанализа SO₂/O₂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 СКЦ, обогреваемая линия отбора (выше точки росы 218 °C); оба канала аттестуются как коммерческие по ГОСТ Р 8.596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технического учёта кислорода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границе цеха; кислородное исполнение, обезжиривание по ГОСТ 12.2.052, прямые участки по требованиям изготовителя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Термопары холодных точек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12–20 поверхностных (бункеры и изоляторные коробки ЭФ, врезки, компенсаторы, тупиковые участки) + 2–3 штуцера Ду50 под зонды скорости коррозии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Шаблон внешней уставки (все главные контуры)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write-тег: клампы min/max, ограничитель скорости, сторожевой таймер 1–5 с, безударный возврат на ПИД; пара серверов оптимизации, шлюз OPC UA, сегмент за промышленным межсетевым экраном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34, 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Архив полного разрешения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секундная история всех тегов без прореживания не менее 5 лет (1–2 ТБ/год со сжатием); NTP/PTP-синхронизация; журнал действий оператора; поименованные наборы ступенчатых испытаний с паспортами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машин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обработанные площадки и шпильки под вибродатчики на всех подшипниковых опорах дымососов и воздуходувки (заводская комплектация); измерительные ТТ фидеров 6 кВ — в задание на КРУ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Агрегаты питания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U, I и частоты искрений (12–16 сигналов на аппарат) — в ОЛ до размещения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6,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Пробоотбор и экспресс-лаборатория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механических пробоотборника (шихта после смесителя СШ-25; огарок — охлаждаемый отбор); помещение ~15 м² с вентиляцией и подводами; закладные под конвейерный анализатор (проём над лентой, площадка, трасса, резерв каналов)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ЧРП дымососа и воздуходувки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дымосос — ЧРП обязательным решением (вместо направляющего аппарата; 0,7–1,2 ГВт·ч/год); воздуходувка с ЧРП — орган регулирования соотношения кислород/воздух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31,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Свеча аспирации: измерительное сечение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нормируемое сечение по ГОСТ 17.2.4.06 с прямыми участками; 2 врезки Ду80 с заглушками; площадка с лестницей; питание I категории; кабельная трасса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Обвязка РОУ: закладные под паровую машину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тройники и отсечная арматура байпаса; площадка 6×4 м с фундаментом; трасса 0,4 кВ и ячейка 0,4 кВ в РУ; РОУ остаётся 100 % резервом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Теплосчётчики шести контуров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 КУ (вихревой расходомер с коррекцией по давлению и температуре), питательная вода, три контура оборотного водоснабжения, конденсат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Раздел «мониторинг состояния»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всё динамическое оборудование свыше 30 кВт: вибрация и температура подшипников, наработка, счётчики пусков, токи приводов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17.2.4.06-90 — Методы определения скорости и расхода газопылевых потоков — измерительное сечение свечи аспирации; ГОСТ Р 8.596-2002 — Метрологическое обеспечение измерительных систем — аттестация коммерческих каналов газоанализа и учёта кислорода; ГОСТ 12.2.052-81 — Оборудование, работающее в среде кислорода — обезжиривание узла учёта; ГОСТ ИСО 20816-3 — Оценка вибрационного состояния машин — уставки виброконтроля дымососов и воздуходувки; ГОСТ 21.408-2013 — Рабочая документация автоматизации — оформление закладных КИП, ведомостей сигналов и опросных листов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94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его назначении и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r>
        <w:rPr>
          <w:b/>
          <w:sz w:val="20"/>
        </w:rPr>
        <w:t xml:space="preserve">2. Данные о сырье, продукции и производимом паре (после РОУ)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sz w:val="19"/>
        </w:rPr>
        <w:t xml:space="preserve">2.3 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r>
        <w:rPr>
          <w:b/>
          <w:sz w:val="20"/>
        </w:rPr>
        <w:t xml:space="preserve">3. Описание технологического процесса по операциям (участкам)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sz w:val="19"/>
        </w:rPr>
        <w:t xml:space="preserve">3.3 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sz w:val="19"/>
        </w:rPr>
        <w:t xml:space="preserve">3.4 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sz w:val="19"/>
        </w:rPr>
        <w:t xml:space="preserve">3.5 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r>
        <w:rPr>
          <w:b/>
          <w:sz w:val="20"/>
        </w:rPr>
        <w:t xml:space="preserve">4. Материальные балансы (сводный и по участкам)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sz w:val="19"/>
        </w:rPr>
        <w:t xml:space="preserve">4.3 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r>
        <w:rPr>
          <w:b/>
          <w:sz w:val="20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r>
        <w:rPr>
          <w:b/>
          <w:sz w:val="20"/>
        </w:rPr>
        <w:t xml:space="preserve">6. Данные о расходах материалов, топлива и энергоресурсов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r>
        <w:rPr>
          <w:b/>
          <w:sz w:val="20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r>
        <w:rPr>
          <w:b/>
          <w:sz w:val="20"/>
        </w:rPr>
        <w:t xml:space="preserve">8. Перечень основного и вспомогательного технологического оборудования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sz w:val="19"/>
        </w:rPr>
        <w:t xml:space="preserve">8.3 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r>
        <w:rPr>
          <w:b/>
          <w:sz w:val="20"/>
        </w:rPr>
        <w:t xml:space="preserve">9. Электроснабжение и электрооборудование (по Приложению №3 к ТЗ)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sz w:val="19"/>
        </w:rPr>
        <w:t xml:space="preserve">9.3 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r>
        <w:rPr>
          <w:b/>
          <w:sz w:val="20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r>
        <w:rPr>
          <w:b/>
          <w:sz w:val="20"/>
        </w:rPr>
        <w:t xml:space="preserve">11. Сводные предварительные данные для раздела ОВОС (по материальным балансам)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sz w:val="19"/>
        </w:rPr>
        <w:t xml:space="preserve">11.4 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r>
        <w:rPr>
          <w:b/>
          <w:sz w:val="20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sz w:val="19"/>
        </w:rPr>
        <w:t xml:space="preserve">12.3 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r>
        <w:rPr>
          <w:b/>
          <w:sz w:val="20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sz w:val="19"/>
        </w:rPr>
        <w:t xml:space="preserve">13.4 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r>
        <w:rPr>
          <w:b/>
          <w:sz w:val="20"/>
        </w:rPr>
        <w:t xml:space="preserve">14. Принципиальная технологическая схема (PFD)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r>
        <w:rPr>
          <w:b/>
          <w:sz w:val="20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sz w:val="19"/>
        </w:rPr>
        <w:t xml:space="preserve">15.4 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r>
        <w:rPr>
          <w:b/>
          <w:sz w:val="20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r>
        <w:rPr>
          <w:b/>
          <w:sz w:val="20"/>
        </w:rPr>
        <w:t xml:space="preserve">17. Основные компоновочные решения (планы, разрезы, высотная схема)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sz w:val="19"/>
        </w:rPr>
        <w:t xml:space="preserve">17.4 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r>
        <w:rPr>
          <w:b/>
          <w:sz w:val="20"/>
        </w:rPr>
        <w:t xml:space="preserve">18. Планы строительных конструкций с нагрузками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sz w:val="19"/>
        </w:rPr>
        <w:t xml:space="preserve">18.4 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r>
        <w:rPr>
          <w:b/>
          <w:sz w:val="20"/>
        </w:rPr>
        <w:t xml:space="preserve">19. Планы фундаментов с нагрузками, включая динамические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r>
        <w:rPr>
          <w:b/>
          <w:sz w:val="20"/>
        </w:rPr>
        <w:t xml:space="preserve">20. Требования к монтажу (включая вес самых тяжёлых частей)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r>
        <w:rPr>
          <w:b/>
          <w:sz w:val="20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sz w:val="19"/>
        </w:rPr>
        <w:t xml:space="preserve">21.5 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r>
        <w:rPr>
          <w:b/>
          <w:sz w:val="20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sz w:val="20"/>
        </w:rPr>
        <w:t xml:space="preserve">23. Тепловыделения и выделения вредностей от оборудования в помещения цеха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r>
        <w:rPr>
          <w:b/>
          <w:sz w:val="20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sz w:val="19"/>
        </w:rPr>
        <w:t xml:space="preserve">24.4 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sz w:val="19"/>
        </w:rPr>
        <w:t xml:space="preserve">24.5 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r>
        <w:rPr>
          <w:b/>
          <w:sz w:val="20"/>
        </w:rPr>
        <w:t xml:space="preserve">25. Стоимость поставки по Лоту №1 (методика и состав)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sz w:val="19"/>
        </w:rPr>
        <w:t xml:space="preserve">25.3 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r>
        <w:rPr>
          <w:b/>
          <w:sz w:val="20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b/>
          <w:sz w:val="19"/>
        </w:rPr>
        <w:t xml:space="preserve">26.1 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sz w:val="19"/>
        </w:rPr>
        <w:t xml:space="preserve">26.2 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sz w:val="19"/>
        </w:rPr>
        <w:t xml:space="preserve">26.3 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sz w:val="19"/>
        </w:rPr>
        <w:t xml:space="preserve">26.4 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r>
        <w:rPr>
          <w:b/>
          <w:sz w:val="20"/>
        </w:rPr>
        <w:t xml:space="preserve">27. Состав, этапность выдачи и ведомость документации БИ по Лоту №1</w:t>
      </w:r>
    </w:p>
    <w:p>
      <w:r>
        <w:rPr>
          <w:b/>
          <w:sz w:val="19"/>
        </w:rPr>
        <w:t xml:space="preserve">27.1 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sz w:val="19"/>
        </w:rPr>
        <w:t xml:space="preserve">27.2 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sz w:val="19"/>
        </w:rPr>
        <w:t xml:space="preserve">27.3 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sz w:val="19"/>
        </w:rPr>
        <w:t xml:space="preserve">27.4 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r>
        <w:rPr>
          <w:b/>
          <w:sz w:val="20"/>
        </w:rPr>
        <w:t xml:space="preserve">28. Закладные решения для последующей цифровизации</w:t>
      </w:r>
    </w:p>
    <w:p>
      <w:r>
        <w:rPr>
          <w:b/>
          <w:sz w:val="19"/>
        </w:rPr>
        <w:t xml:space="preserve">28.1 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sz w:val="19"/>
        </w:rPr>
        <w:t xml:space="preserve">28.2 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sz w:val="19"/>
        </w:rPr>
        <w:t xml:space="preserve">28.3 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