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2. 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3. 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4. 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5. 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6. 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7.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8. 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9. 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11. 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(≈1,7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12. 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13. 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14. 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15. 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16. 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17. 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18. 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19. 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20. 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21. 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22. 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23. 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p>
      <w:pPr>
        <w:pStyle w:val="Heading2"/>
      </w:pPr>
      <w:r>
        <w:rPr>
          <w:b/>
          <w:sz w:val="26"/>
        </w:rPr>
        <w:t xml:space="preserve">24. 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отделения без переделок и врезок после пуска: требования вносятся в состав БИ — в опросные листы длинноциклового оборудования (ванны, КСМ, спецкраны — 10–18 мес изготовления), в задания на стыки, в компоновку и в перечни сигналов АСУ — до выдачи запросов ТКП, поскольку дооснащение работающего электролизного зала обходится в три–пять раз дороже закладки в заказ. Источник — одобренные владельцем проекта позиции «Реестра идей эффективности ред. 2.0»: разд. 1.2 (пп. 12–20), разд. 1.5 (пп. 27–30), разд. 1.6 (п. 35), разд. 1.7 (п. 43) и закладки под опции разд. 2 (пп. 1, 4, 5, 8).</w:t>
      </w:r>
    </w:p>
    <w:p>
      <w:r>
        <w:rPr>
          <w:sz w:val="20"/>
        </w:rPr>
        <w:t xml:space="preserve">Принцип разграничения: закладные не меняют контуры управления и объём раздела АСУ — защитные блокировки и ограничители остаются в ПЛК (REGUL/АБАК), а системы верхнего уровня (советчик электролиза, планировщик токовых режимов по тарифным зонам, координатор нагрузки серий, токовая карта серии с измерительной балкой) оформляются отдельными опциями и в стоимость Лота №3 не входят. В базовый состав включаются только измерительная база (милливольтовые точки, шунты, счётчики, поточный анализ), конструктивные резервы (площадки, закладные, питание, каналы связи, резерв конвейера), помещения и кабельная инфраструктура, а также строки опросных листов и заданий на стык, которые делают эти опции реализуемыми без остановки производства.</w:t>
      </w:r>
    </w:p>
    <w:p>
      <w:r>
        <w:rPr>
          <w:sz w:val="20"/>
        </w:rPr>
        <w:t xml:space="preserve">Распределение по документам БИ: требования к комплектным машинам — в опросные листы ванн, КСМ и спецкранов (раздел спецификаций и опросных листов); требования к выпрямителям и качеству электроэнергии — в задание на стык (раздел границ) и однолинейные схемы; помещения анализаторных, калитки СКУД и кабельные трассы — в компоновку; сигналы и хранение — в перечень ввода-вывода АСУ (в пределах нормативного резерва 30 % по Прил. №5) и в требования к ХТД; ключи прослеживаемости — в межлотовый интерфейсный протокол Лот №3 ↔ Лот №4. Хранение сырых рядов и привязок — в хранилище технологических данных отделения.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Милливольтовый контроль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точек; опрос 1 Гц; гальваническая развязка каждого канала; хранение сырых рядов не менее 5 лет; экранированные трассы отдельно от ошиновки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1, разд. 1.2 пп. 13, 16;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Закладные на спецкранах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закладная площадка, питание 24 В/PoE и канал связи на мостах обоих кранов (тепловизионный модуль в термокожухе IP65 с продувкой); конструктивный резерв под измерительную балку — масса, питание, канал с тележки, посадочные места; дискретные входы «зона занята»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15, 17; разд. 2 п. 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ОЛ КСМ: машинное зрение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ОЛ КСМ: контакты и идентификация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12, 13, 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ОЛ КСМ: масса пакета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Поточный анализ электролита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помещения анализаторных (~2 × 3 м, ~10 м²) у циркуляционных баков — вентиляция, промвода, дренаж в циркуляцию, питание I категории; байпасные петли DN25 (PTFE/PVDF, электрообогрев) трёх точек: богатый фильтрат на границе и питание обеих серий; пломбируемый арбитражный пробоотборник на границе 5.2.1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Задание на стык с выпрямителями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дистанционная плавная уставка тока 20–100 % по Modbus TCP с ограничителем градиента; режим поддерживающего тока 5–10 % номинала; полная телеметрия; шунты класса 0,2 и счётчики 0,5S на каждом агрегате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пп. 27, 29, 30; разд. 2 пп. 4, 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Перекрёстная ошиновка и токовые паузы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моторизованные приводы разъединителей перекрёстной ошиновки с электромагнитными блокировками и телесигнализацией положения; карта допустимых токовых пауз — запросом в опросный лист анодов, зашивается уставками (до 5 мин — норма; 5–30 мин — поддерживающий ток; свыше 30 мин — контролируемый вывод серии)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п. 29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Качество электроэнергии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стационарный регистратор класса A на границе балансовой принадлежности; ячейки и фундаменты под фильтрокомпенсирующие звенья в однолинейной схеме; векторные группы трансформаторов двух серий со взаимным сдвигом 15° (квазидвадцатичетырёхпульсный узел)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пп. 28, 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Контроль изоляции сети постоянного тока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устройства непрерывного контроля изоляции обеих серий (225 В) с локализацией утечек по секциям 10–15 ванн; испытательные клеммы на секциях и измерительные перемычки на электрических разрывах трубопроводов — требованием в комплект ванн и обвязки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Зонирование зала и обходы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СКУД-калитки крановых зон и зон серий с датчиками положения (сигнал «зона занята» — в ПЛК кранов); кабельные трассы вдоль рядов; NFC-метки 180 ванн и штатные безопасные точки милливольтового замера (высота до 1700 мм); Wi-Fi покрытие залов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17, 18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Реагентный узел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расходные ёмкости на тензодатчиках (весоизмерительные системы); узел затворения гуарового реагента с выдержкой и перемешиванием; дозирование пропорционально ампер-часам серии; 2–4 датчика аэрозоля над сериями — обратная связь дозирования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20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Геодезия и монтажные допуски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поставщиков ванн, КСМ и кранов (требованием опросных листов); таблицы монтажных допусков с методом контроля, включая ±2 мм по бортам смежных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1.7 п. 43; ГОСТ Р 51872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Прослеживаемость Лот №3 ↔ Лот №4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межлотовый протокол ключей «ванна-цикл — борона — стопа — пакет»; хранение привязки не менее 10 лет; формат QR-этикетки пакета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состояния (типовой раздел ОЛ)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опросные листы динамического оборудования свыше 30 кВт: вибрация и температуры подшипников, наработка, счётчики пусков, токи приводов; выдача значениями (не битовыми статусами) по стандартному цифровому протоколу; карта регистров — в составе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Контроль изоляции электролизных установок — исполняется закладными узлами обеих серий; ГОСТ 32144-2013; ГОСТ 30804.4.30-2013 — Нормы и методика измерений качества электроэнергии (регистратор класса A); 102-ФЗ; Госреестр СИ — Поверка средств измерений закладной базы (шунты 0,2, счётчики 0,5S, поточные анализаторы, весовые каналы); ГОСТ Р 51872-2019 — Исполнительные схемы геодезической выверки рядов ванн и тяжёлого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допустимых токовых пауз — ответ поставщика анодов на запрос опросного листа; до получения действует градация уставок по решению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постов машинного зрения и узла щёточной очистки в комплектной КСМ — подтверждается ТКП; при отсутствии посты размещаются на зарезервированных 2 м выходного конвейера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по сценарию перевода серии на резерв — протокол на стыке (связан с открытым вопросом раздела АСУ)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анализаторных и калиток СКУД — увязать в компоновке для обоих сценариев (А/Б)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81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сведения, продукция и режим работы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r>
        <w:rPr>
          <w:b/>
          <w:sz w:val="20"/>
        </w:rPr>
        <w:t xml:space="preserve">2. Описание технологического процесса по операциям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sz w:val="19"/>
        </w:rPr>
        <w:t xml:space="preserve">2.3 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r>
        <w:rPr>
          <w:b/>
          <w:sz w:val="20"/>
        </w:rPr>
        <w:t xml:space="preserve">3. Электрический расчёт серии электролиза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sz w:val="19"/>
        </w:rPr>
        <w:t xml:space="preserve">3.3 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r>
        <w:rPr>
          <w:b/>
          <w:sz w:val="20"/>
        </w:rPr>
        <w:t xml:space="preserve">4. Тепловой и материальный баланс контура циркуляции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sz w:val="19"/>
        </w:rPr>
        <w:t xml:space="preserve">4.3 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r>
        <w:rPr>
          <w:b/>
          <w:sz w:val="20"/>
        </w:rPr>
        <w:t xml:space="preserve">5. Расходы материалов, реагентов и энергоресурсов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r>
        <w:rPr>
          <w:b/>
          <w:sz w:val="20"/>
        </w:rPr>
        <w:t xml:space="preserve">6. Перечень основного и вспомогательного технологического оборудования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r>
        <w:rPr>
          <w:b/>
          <w:sz w:val="20"/>
        </w:rPr>
        <w:t xml:space="preserve">7.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sz w:val="19"/>
        </w:rPr>
        <w:t xml:space="preserve">7.3 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r>
        <w:rPr>
          <w:b/>
          <w:sz w:val="20"/>
        </w:rPr>
        <w:t xml:space="preserve">8. Сведения по электроснабжению и электрооборудованию (по Приложению №3)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sz w:val="19"/>
        </w:rPr>
        <w:t xml:space="preserve">8.3 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sz w:val="19"/>
        </w:rPr>
        <w:t xml:space="preserve">8.4 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r>
        <w:rPr>
          <w:b/>
          <w:sz w:val="20"/>
        </w:rPr>
        <w:t xml:space="preserve">9. PFD и P&amp;ID: контуры регулирования, блокировки, уставки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sz w:val="19"/>
        </w:rPr>
        <w:t xml:space="preserve">9.3 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r>
        <w:rPr>
          <w:b/>
          <w:sz w:val="20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r>
        <w:rPr>
          <w:b/>
          <w:sz w:val="20"/>
        </w:rPr>
        <w:t xml:space="preserve">11. Компоновка: существующий ЦЭМ (сценарий А) / новый корпус (сценарий Б — базовый)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sz w:val="19"/>
        </w:rPr>
        <w:t xml:space="preserve">11.4 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sz w:val="19"/>
        </w:rPr>
        <w:t xml:space="preserve">11.5 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r>
        <w:rPr>
          <w:b/>
          <w:sz w:val="20"/>
        </w:rPr>
        <w:t xml:space="preserve">12. Нагрузки на перекрытия и фундаменты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sz w:val="19"/>
        </w:rPr>
        <w:t xml:space="preserve">12.3 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r>
        <w:rPr>
          <w:b/>
          <w:sz w:val="20"/>
        </w:rPr>
        <w:t xml:space="preserve">13. Кислотозащита строительных конструкций и электрокоррозионная безопасность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r>
        <w:rPr>
          <w:b/>
          <w:sz w:val="20"/>
        </w:rPr>
        <w:t xml:space="preserve">14. АСУ отделения с прикладным программным обеспечением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sz w:val="19"/>
        </w:rPr>
        <w:t xml:space="preserve">14.3 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sz w:val="19"/>
        </w:rPr>
        <w:t xml:space="preserve">14.4 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r>
        <w:rPr>
          <w:b/>
          <w:sz w:val="20"/>
        </w:rPr>
        <w:t xml:space="preserve">15. Требования к монтажу и веса тяжёлых частей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sz w:val="19"/>
        </w:rPr>
        <w:t xml:space="preserve">15.4 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r>
        <w:rPr>
          <w:b/>
          <w:sz w:val="20"/>
        </w:rPr>
        <w:t xml:space="preserve">16. Требования к испытаниям и приёмке; ПНР: первое заполнение и вывод на ток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sz w:val="19"/>
        </w:rPr>
        <w:t xml:space="preserve">16.4 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r>
        <w:rPr>
          <w:b/>
          <w:sz w:val="20"/>
        </w:rPr>
        <w:t xml:space="preserve">17. 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r>
        <w:rPr>
          <w:b/>
          <w:sz w:val="20"/>
        </w:rPr>
        <w:t xml:space="preserve">18. Тепловыделения и выделения вредностей в помещения (предварительные расчётные данные по аналогам)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r>
        <w:rPr>
          <w:b/>
          <w:sz w:val="20"/>
        </w:rPr>
        <w:t xml:space="preserve">19. Данные для раздела ОВОС (по балансам отделения)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r>
        <w:rPr>
          <w:b/>
          <w:sz w:val="20"/>
        </w:rPr>
        <w:t xml:space="preserve">20. Разграничение поставки и стыковка границ с позициями «вне БИ»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sz w:val="19"/>
        </w:rPr>
        <w:t xml:space="preserve">20.4 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sz w:val="19"/>
        </w:rPr>
        <w:t xml:space="preserve">20.5 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r>
        <w:rPr>
          <w:b/>
          <w:sz w:val="20"/>
        </w:rPr>
        <w:t xml:space="preserve">21. Интерфейсы с другими лотами, ГМУ и общеплощадочными системами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r>
        <w:rPr>
          <w:b/>
          <w:sz w:val="20"/>
        </w:rPr>
        <w:t xml:space="preserve">22. Цифровая информационная модель отделения на этапе БИ (Приложение №4, ред. 2)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r>
        <w:rPr>
          <w:b/>
          <w:sz w:val="20"/>
        </w:rPr>
        <w:t xml:space="preserve">23. Стоимость поставки по Лоту №3 (порядок формирования) и этапность выдачи БИ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p>
      <w:r>
        <w:rPr>
          <w:b/>
          <w:sz w:val="20"/>
        </w:rPr>
        <w:t xml:space="preserve">24. Закладные решения для последующей цифровизации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Карта допустимых токовых пауз — ответ поставщика анодов на запрос опросного листа; до получения действует градация уставок по решению БИ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Наличие постов машинного зрения и узла щёточной очистки в комплектной КСМ — подтверждается ТКП; при отсутствии посты размещаются на зарезервированных 2 м выходного конвейера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Разграничение функций АСУ Лота №3 и системы управления выпрямителями по сценарию перевода серии на резерв — протокол на стыке (связан с открытым вопросом раздела АСУ)</w:t>
      </w:r>
    </w:p>
    <w:p>
      <w:r>
        <w:rPr>
          <w:b/>
          <w:sz w:val="19"/>
        </w:rPr>
        <w:t xml:space="preserve">24.4  </w:t>
      </w:r>
      <w:r>
        <w:rPr>
          <w:sz w:val="19"/>
        </w:rPr>
        <w:t xml:space="preserve">Размещение анализаторных и калиток СКУД — увязать в компоновке для обоих сценариев (А/Б)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