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предварительные нагрузки от технологического оборудования Лота №1 «Цех обжига» на строительные конструкции и фундаменты и требования к строительной части, необходимые для разработки конструктивных решений. Документ выполняет требования состава Базового инжиниринга «Планы строительных конструкций с нагрузками» и «Планы фундаментов с предварительными нагрузками, включая предварительные динамические нагрузки (с запасом)» (ТЗ на БИ ред. 4.1).</w:t>
      </w:r>
    </w:p>
    <w:p>
      <w:r>
        <w:rPr>
          <w:sz w:val="20"/>
        </w:rPr>
        <w:t xml:space="preserve">Текстовая часть включает ведомость предварительных нагрузок по оборудованию лота, раздел динамических нагрузок, требования к строительной части и перечень характеристик, уточняемых по техническим предложениям изготовителей. Графическая часть — планы на характерных отметках и разрезы с привязкой оборудования к разбивочным осям — выпускается в составе компоновочных решений лота; нагрузки настоящего документа наносятся на эти планы по узлам опирания в форме, приведённой в разделе 7.</w:t>
      </w:r>
    </w:p>
    <w:p>
      <w:r>
        <w:rPr>
          <w:sz w:val="20"/>
        </w:rPr>
        <w:t xml:space="preserve">Здание цеха обжига — новое строительство. Каркас здания — стальной рамно-связевой, колонны по сетке 6/12 м, покрытие по фермам, ограждение из сэндвич-панелей. Внутренние этажерки бункерного хозяйства и газоочистки выполняются самостоятельными стальными каркасами, конструктивно отделёнными от каркаса здания: этим исключается передача технологических вибраций и температурных деформаций на несущие конструкции здания. Тип фундаментов — монолитные железобетонные на естественном основании; грунтовые условия площадки благоприятные, особые условия (мерзлота, просадочность, карст) не выявлены, тип основания уточняется инженерно-геологическими изысканиями пятна застройки.</w:t>
      </w:r>
    </w:p>
    <w:p>
      <w:r>
        <w:rPr>
          <w:color w:val="666666"/>
          <w:sz w:val="17"/>
        </w:rPr>
        <w:t xml:space="preserve">Источник: ИД ч.1 (табл. 23 — характеристики оборудования, табл. 25 — незавершённое производство); ТЗ на БИ ред. 4.1 (п. 2.9 — условия площадки, п. 3.5 — сетка колонн);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ОВЭ75-БИ-Л1-ПЗ — Пояснительная записка</w:t>
      </w:r>
    </w:p>
    <w:p>
      <w:r>
        <w:rPr>
          <w:sz w:val="20"/>
        </w:rPr>
        <w:t xml:space="preserve">— ОВЭ75-БИ-Л1-КР — Компоновочные решения (планы, разрезы)</w:t>
      </w:r>
    </w:p>
    <w:p>
      <w:r>
        <w:rPr>
          <w:sz w:val="20"/>
        </w:rPr>
        <w:t xml:space="preserve">— ОВЭ75-БИ-Л1-СО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ОВЭ75-БИ-Л1-ОЛ — Опросные листы основного оборудования (альбом)</w:t>
      </w:r>
    </w:p>
    <w:p>
      <w:r>
        <w:rPr>
          <w:sz w:val="20"/>
        </w:rPr>
        <w:t xml:space="preserve">— ОВЭ75-БИ-Л1-МТ — Требования к монтажу (включая вес самых тяжёлых частей)</w:t>
      </w:r>
    </w:p>
    <w:p>
      <w:pPr>
        <w:pStyle w:val="Heading2"/>
      </w:pPr>
      <w:r>
        <w:rPr>
          <w:b/>
          <w:sz w:val="24"/>
        </w:rPr>
        <w:t xml:space="preserve">1.2 Стадия достоверности нагрузок</w:t>
      </w:r>
    </w:p>
    <w:p>
      <w:r>
        <w:rPr>
          <w:sz w:val="20"/>
        </w:rPr>
        <w:t xml:space="preserve">Нагрузки настоящего документа предварительные. На стадии Базового инжиниринга часть масс задана исходными данными Заказчика, часть получена расчётом по объёмам и плотностям, часть оценена по геометрии и аналогам, часть изготовителем не задана и определяется после выбора поставщика. Каждая строка ведомости относится к одной из четырёх категорий достоверности; порядок использования значений при проектировании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100"/>
        <w:gridCol w:w="2700"/>
        <w:gridCol w:w="2400"/>
        <w:gridCol w:w="3154"/>
      </w:tblGrid>
      <w:tr>
        <w:trPr>
          <w:tblHeader/>
          <w:cantSplit/>
        </w:trPr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Использование в расчёте</w:t>
            </w:r>
          </w:p>
        </w:tc>
        <w:tc>
          <w:tcPr>
            <w:tcW w:w="31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уточнения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А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Масса или нагрузка задана исходными данными Заказчика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без изменения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при выдаче конструкторской документации изготовителя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Б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Нагрузка получена расчётом по объёму, плотности и уровню заполнения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как предварительная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фактическим плотностям и уровням заполнения на стадии БИ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В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Предварительная оценка Исполнителя по геометрии и аналогам; задана диапазоном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верхняя граница диапазона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опросным листам и техническим предложениям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Г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Резервируются место установки и предельная масса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Вносится по ТКП при выдаче строительного задания</w:t>
            </w:r>
          </w:p>
        </w:tc>
      </w:tr>
    </w:tbl>
    <w:p>
      <w:r>
        <w:rPr>
          <w:sz w:val="20"/>
        </w:rPr>
        <w:t xml:space="preserve">Общее правило выпуска: там, где значение задано диапазоном, в расчёт конструкций принимается верхняя граница диапазона; там, где значение не задано, в планах резервируются место установки и предельная масса, а расчёт выполняется повторно после получения данных изготовителя. Коэффициенты надёжности по нагрузке и сочетания принимаются по СП 20.13330: для оборудования с известной массой 1,05–1,2, для жидкости 1,2.</w:t>
      </w:r>
    </w:p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уточняется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1.3 Нормативная база расчёта нагрузок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 в расчёте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20.13330.2016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Нагрузки и воздействия: сочетания, снеговые мешки, крановые нагрузки (разд. 9)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16.13330.2017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Стальные конструкции — расчёт каркасов, этажерок, опор газоходов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63.13330.2018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Железобетонные конструкции — фундаменты, подпорные элементы, перекрытия на 0,000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43.13330.2012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Бункеры и силосы: давление сыпучего на стенки (с учётом сводообразования и обрушения), опорные узлы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14.13330.2018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Проверка при сейсмичности 6 баллов (справочно; спецмероприятия как правило не требуются)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27751-2014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Надёжность строительных конструкций — класс сооружения КС-2/КС-3 (уточняется для этажерки печи)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26.13330.2012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Фундаменты машин с динамическими нагрузками — дымососы, воздуходувка; допускаемые амплитуды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22.13330.2016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Основания зданий и сооружений — несущая способность и осадки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24379.1-2012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Болты фундаментные — анкеровка оборудования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ИСО 21940-11-2019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Балансировка роторов — назначение класса G для дымососов/воздуходувки (номер применяемой части уточняется)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ГОСТ 12.1.012-2004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Вибрационная безопасность — уровни на рабочих местах у дымососов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2. Климатические, сейсмические и температурные воздействия</w:t>
      </w:r>
    </w:p>
    <w:p>
      <w:r>
        <w:rPr>
          <w:sz w:val="20"/>
        </w:rPr>
        <w:t xml:space="preserve">Условия площадки — промышленная площадка в городе Мончегорске Мурманской области —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Воздействие, 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Температура наружного воздуха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Наиболее холодная пятидневка −34 °C (обеспеченность 0,98) и −30 °C (0,92); наиболее холодные сутки −40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Грунтовые условия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Особые условия (мерзлота, просадочность, карст) не выявлены; инженерно-геологические изыскания пятна застройки — в составе БИ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2.9.6</w:t>
            </w:r>
          </w:p>
        </w:tc>
      </w:tr>
    </w:tbl>
    <w:p>
      <w:r>
        <w:rPr>
          <w:sz w:val="20"/>
        </w:rPr>
        <w:t xml:space="preserve">Здание новое: снеговая и ветровая нагрузки учитываются в полном объёме для каркаса, покрытия и ограждающих конструкций. На перепадах высот блоков учитываются снеговые мешки по СП 20.13330 — коэффициент μ до 2–3 в зонах примыкания этажерки к пролёту печи. Сейсмическое воздействие 6 баллов проверяется справочно: специальные мероприятия при такой интенсивности, как правило, не требуются. Температурные воздействия: локальный нагрев конструкций у печи и газоходов (тракт до 400–920 °C) — тепловые экраны и вентилируемые зазоры; расчётный температурный перепад для этажерки печи ±40 °C.</w:t>
      </w:r>
    </w:p>
    <w:p>
      <w:pPr>
        <w:pStyle w:val="Heading1"/>
      </w:pPr>
      <w:r>
        <w:rPr>
          <w:b/>
          <w:sz w:val="28"/>
        </w:rPr>
        <w:t xml:space="preserve">3. Ведомость предварительных нагрузок от технологического оборудования</w:t>
      </w:r>
    </w:p>
    <w:p>
      <w:r>
        <w:rPr>
          <w:sz w:val="20"/>
        </w:rPr>
        <w:t xml:space="preserve">Ведомость составлена по перечню основного и вспомогательного технологического оборудования лота. Массы приведены в тоннах: «пустого» — масса оборудования без заполнения, «рабочая» — масса в рабочем состоянии с материалом, раствором или водой. Статическая нагрузка приведена в единицах источника; при отсутствии данных изготовителя указан порядок уточнения. Графа динамической составляющей заполняется для всех позиций: для машин с вращающимися частями — с указанием частоты возмущения, для остальных — с указанием принятого коэффициента динамичности либо отсутствия динамики.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1630"/>
        <w:gridCol w:w="1350"/>
        <w:gridCol w:w="1554"/>
        <w:gridCol w:w="1300"/>
        <w:gridCol w:w="1450"/>
        <w:gridCol w:w="155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630" w:type="dxa"/>
            <w:shd w:val="clear" w:fill="EFEFEF"/>
          </w:tcPr>
          <w:p>
            <w:r>
              <w:rPr>
                <w:b/>
                <w:sz w:val="15"/>
              </w:rPr>
              <w:t xml:space="preserve">Наименование, тип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Отметка, место установки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Масса, т: пустого / рабочая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Тип опирания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5"/>
              </w:rPr>
              <w:t xml:space="preserve">Статическая нагрузка</w:t>
            </w:r>
          </w:p>
        </w:tc>
        <w:tc>
          <w:tcPr>
            <w:tcW w:w="1550" w:type="dxa"/>
            <w:shd w:val="clear" w:fill="EFEFEF"/>
          </w:tcPr>
          <w:p>
            <w:r>
              <w:rPr>
                <w:b/>
                <w:sz w:val="15"/>
              </w:rPr>
              <w:t xml:space="preserve">Динамическая составляющая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Фильтрация концентрата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Барабанные вакуум-фильтры для пульпы медного концентрата</w:t>
            </w:r>
          </w:p>
          <w:p>
            <w:r>
              <w:rPr>
                <w:color w:val="666666"/>
                <w:sz w:val="13"/>
              </w:rPr>
              <w:t xml:space="preserve">кол-во: Уточняется в БИ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Отделение фильтрации, перекрытие +6,0 (предварительно)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ТЗ п. 3.4; компоновка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балки перекрытия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ТКП; резервируется зона под два аппарата 2 × 32 м²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Ёмкость приёма фильтрата после вакуум-фильтра с насосным оборудованием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 под этажеркой фильтрации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фильтратом</w:t>
            </w:r>
          </w:p>
          <w:p>
            <w:r>
              <w:rPr>
                <w:color w:val="666666"/>
                <w:sz w:val="13"/>
              </w:rPr>
              <w:t xml:space="preserve">Источник: ТЗ п. 3.4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Ёмкость — на плите пола в поддоне; насосы — на рамах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Насосы на виброизолированных рамах; нагрузки малые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Шихтоподготовка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Приёмный бункер концентрата, 60 м³</w:t>
            </w:r>
          </w:p>
          <w:p>
            <w:r>
              <w:rPr>
                <w:color w:val="666666"/>
                <w:sz w:val="13"/>
              </w:rPr>
              <w:t xml:space="preserve">Цилиндрические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Бункерная этажерка; загрузка сверху конвейерами (верх +14…16)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изготовителя</w:t>
            </w:r>
          </w:p>
          <w:p>
            <w:r>
              <w:rPr>
                <w:sz w:val="14"/>
              </w:rPr>
              <w:t xml:space="preserve">Рабочая: 132,6 материала</w:t>
            </w:r>
          </w:p>
          <w:p>
            <w:r>
              <w:rPr>
                <w:color w:val="666666"/>
                <w:sz w:val="13"/>
              </w:rPr>
              <w:t xml:space="preserve">Источник: ИД ч.1 табл.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или юбка на балки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132,6 т материала и собственный вес; давление сыпучего по СП 43.13330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Импульсы побудителей истечения — локальные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Бункер оборотного огарка, 50 м³</w:t>
            </w:r>
          </w:p>
          <w:p>
            <w:r>
              <w:rPr>
                <w:color w:val="666666"/>
                <w:sz w:val="13"/>
              </w:rPr>
              <w:t xml:space="preserve">Цилиндрические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Бункерная этажерка шихтовки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изготовителя</w:t>
            </w:r>
          </w:p>
          <w:p>
            <w:r>
              <w:rPr>
                <w:sz w:val="14"/>
              </w:rPr>
              <w:t xml:space="preserve">Рабочая: 149,3 материала</w:t>
            </w:r>
          </w:p>
          <w:p>
            <w:r>
              <w:rPr>
                <w:color w:val="666666"/>
                <w:sz w:val="13"/>
              </w:rPr>
              <w:t xml:space="preserve">Источник: ИД ч.1 табл.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или юбка на балки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149,3 т материала и собственный вес (см. примечание 1)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Импульсы побудителей истечения — локальные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Бункер кека, 20 м³</w:t>
            </w:r>
          </w:p>
          <w:p>
            <w:r>
              <w:rPr>
                <w:color w:val="666666"/>
                <w:sz w:val="13"/>
              </w:rPr>
              <w:t xml:space="preserve">Цилиндрические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Бункерная этажерка шихтовки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изготовителя</w:t>
            </w:r>
          </w:p>
          <w:p>
            <w:r>
              <w:rPr>
                <w:sz w:val="14"/>
              </w:rPr>
              <w:t xml:space="preserve">Рабочая: 27,0 материала</w:t>
            </w:r>
          </w:p>
          <w:p>
            <w:r>
              <w:rPr>
                <w:color w:val="666666"/>
                <w:sz w:val="13"/>
              </w:rPr>
              <w:t xml:space="preserve">Источник: ИД ч.1 табл.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балки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27,0 т материала и собственный вес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Импульсы побудителей истечения — локальные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Бункер цементной меди, 10 м³</w:t>
            </w:r>
          </w:p>
          <w:p>
            <w:r>
              <w:rPr>
                <w:color w:val="666666"/>
                <w:sz w:val="13"/>
              </w:rPr>
              <w:t xml:space="preserve">Цилиндрические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Бункерная этажерка, зона кислотозащиты полов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изготовителя</w:t>
            </w:r>
          </w:p>
          <w:p>
            <w:r>
              <w:rPr>
                <w:sz w:val="14"/>
              </w:rPr>
              <w:t xml:space="preserve">Рабочая: 30,0 материала</w:t>
            </w:r>
          </w:p>
          <w:p>
            <w:r>
              <w:rPr>
                <w:color w:val="666666"/>
                <w:sz w:val="13"/>
              </w:rPr>
              <w:t xml:space="preserve">Источник: ИД ч.1 табл.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балки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30,0 т материала и собственный вес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Импульсы побудителей истечения — локальные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Расходные бункера шихты</w:t>
            </w:r>
          </w:p>
          <w:p>
            <w:r>
              <w:rPr>
                <w:color w:val="666666"/>
                <w:sz w:val="13"/>
              </w:rPr>
              <w:t xml:space="preserve">Цилиндрические; кол-во: 2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Опорный каркас у печи; загрузка наклонным конвейером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изготовителя</w:t>
            </w:r>
          </w:p>
          <w:p>
            <w:r>
              <w:rPr>
                <w:sz w:val="14"/>
              </w:rPr>
              <w:t xml:space="preserve">Рабочая: 125,0 материала на два бункера</w:t>
            </w:r>
          </w:p>
          <w:p>
            <w:r>
              <w:rPr>
                <w:color w:val="666666"/>
                <w:sz w:val="13"/>
              </w:rPr>
              <w:t xml:space="preserve">Источник: ИД ч.1 табл.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балки каркаса, отделённого от каркаса здания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125,0 т материала и собственный вес двух бункеров 2 × 60 м³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Импульсы побудителей истечения — локальные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Ленточные транспортёры (в т.ч. реверсивные)</w:t>
            </w:r>
          </w:p>
          <w:p>
            <w:r>
              <w:rPr>
                <w:color w:val="666666"/>
                <w:sz w:val="13"/>
              </w:rPr>
              <w:t xml:space="preserve">УКВ-320-Ц-60 / УКВ-200-Ц-60 / УКВ-200-Ц-37,5 / УКВ-320-Ц-95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Этажерка шихтовки, верх конвейеров +14…16; наклонный конвейер у печи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материалом на ленте</w:t>
            </w:r>
          </w:p>
          <w:p>
            <w:r>
              <w:rPr>
                <w:color w:val="666666"/>
                <w:sz w:val="13"/>
              </w:rPr>
              <w:t xml:space="preserve">Источник: Компоновка БИ;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става на балки этажерки; станции на закладных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Собственный вес става и материала; погонная нагрузка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Ленточные транспортёры для цементной меди</w:t>
            </w:r>
          </w:p>
          <w:p>
            <w:r>
              <w:rPr>
                <w:color w:val="666666"/>
                <w:sz w:val="13"/>
              </w:rPr>
              <w:t xml:space="preserve">кол-во: Уточняется на стадии ОТР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пост разгрузки цементной меди у ворот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Компоновка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става на закладные плиты пола; полы кислотоупорные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Собственный вес става и материала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Шнековые транспортёры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Подача шихты — этажерка; пылевые шнеки под конусами бункеров, +4…5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материалом в жёлобе</w:t>
            </w:r>
          </w:p>
          <w:p>
            <w:r>
              <w:rPr>
                <w:color w:val="666666"/>
                <w:sz w:val="13"/>
              </w:rPr>
              <w:t xml:space="preserve">Источник: Компоновка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корыта на балки этажерки и рамы холодильников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Собственный вес корыта, шнека и материала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Шнековые транспортёры для цементной меди</w:t>
            </w:r>
          </w:p>
          <w:p>
            <w:r>
              <w:rPr>
                <w:color w:val="666666"/>
                <w:sz w:val="13"/>
              </w:rPr>
              <w:t xml:space="preserve">кол-во: Уточняется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Зона приёмки цементной меди,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Компоновка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корыта на закладные плиты пола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Дисковый (тарельчатый) питатель</w:t>
            </w:r>
          </w:p>
          <w:p>
            <w:r>
              <w:rPr>
                <w:color w:val="666666"/>
                <w:sz w:val="13"/>
              </w:rPr>
              <w:t xml:space="preserve">ZC-300 / ZC-800 / ZC-1200 / ZC-1500; кол-во: 2×ZC-300, 1×ZC-800, 1×ZC-1200, 2×ZC-1500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 конусами приёмных бункеров, +7…8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Компоновка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Рама на балках этажерки под конусом бункера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ТКП; передаётся на этажерку вместе с нагрузкой бункера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Дозатор ленточный</w:t>
            </w:r>
          </w:p>
          <w:p>
            <w:r>
              <w:rPr>
                <w:color w:val="666666"/>
                <w:sz w:val="13"/>
              </w:rPr>
              <w:t xml:space="preserve">4488 ДН-У-1-X-40-1800-0-0.X (X = 3,2; 4; 5; 16; 25); кол-во: по 1 шт. на X=3,2; 4; 5; 16 и 2 шт. на X=25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 питателями, +7…8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ч.1 табл. 23;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Рама на балках этажерки; тензометрические опоры требуют жёсткого основания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ТКП; погонная нагрузка ленты 40 кг/м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(предварительно); узел развязывается по вибрации от соседних машин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Шнековый смеситель</w:t>
            </w:r>
          </w:p>
          <w:p>
            <w:r>
              <w:rPr>
                <w:color w:val="666666"/>
                <w:sz w:val="13"/>
              </w:rPr>
              <w:t xml:space="preserve">СШ-25;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+5,0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≈8 с заполнением (рабочий объём 3,8 м³)</w:t>
            </w:r>
          </w:p>
          <w:p>
            <w:r>
              <w:rPr>
                <w:color w:val="666666"/>
                <w:sz w:val="13"/>
              </w:rPr>
              <w:t xml:space="preserve">Источник: ИД ч.1 табл. 23,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Рама смесителя на балках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≈8 т материала и собственный вес корпуса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Обжиг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15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Печь кипящего слоя (КС)</w:t>
            </w:r>
          </w:p>
          <w:p>
            <w:r>
              <w:rPr>
                <w:color w:val="666666"/>
                <w:sz w:val="13"/>
              </w:rPr>
              <w:t xml:space="preserve">Характеристики по ИД ч.1 табл. 23;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Собственный опорный каркас; подина +4,5 (предварительно), свод ≈+13,7; под печью — газовая коробка и донная выгрузка на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200–230 (конструкция и футеровка) — предварительная оценка</w:t>
            </w:r>
          </w:p>
          <w:p>
            <w:r>
              <w:rPr>
                <w:sz w:val="14"/>
              </w:rPr>
              <w:t xml:space="preserve">Рабочая: 340–370 с загрузкой (слой 139 единовременно)</w:t>
            </w:r>
          </w:p>
          <w:p>
            <w:r>
              <w:rPr>
                <w:color w:val="666666"/>
                <w:sz w:val="13"/>
              </w:rPr>
              <w:t xml:space="preserve">Источник: ИД ч.1 табл. 23, 25; оценка Исполнителя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Опорный каркас на монолитной плите, отделённой от каркаса здания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Постоянная — корпус и футеровка; длительная — слой огарка 139 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Пульсации слоя: 48–53 кПа на 28,27 м², полоса 0,5–5 Гц;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16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Воздуходувка дутьевая</w:t>
            </w:r>
          </w:p>
          <w:p>
            <w:r>
              <w:rPr>
                <w:color w:val="666666"/>
                <w:sz w:val="13"/>
              </w:rPr>
              <w:t xml:space="preserve">кол-во: по ТЗ на БИ, п. 3.4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Отдельное шумоизолированное помещение на 0,000 вблизи печи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 (тип машины не выбран)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ч.1 табл. 23;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Массивный блок, отделённый сквозным швом; резервируется 6 × 4 м до 60 т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ТКП; до выбора машины принимается зарезервированная масса блока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Вращающаяся машина, 3000 об/мин (50 Гц) и выше;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17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Шнековый забрасыватель шихты</w:t>
            </w:r>
          </w:p>
          <w:p>
            <w:r>
              <w:rPr>
                <w:color w:val="666666"/>
                <w:sz w:val="13"/>
              </w:rPr>
              <w:t xml:space="preserve">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У корпуса печи на отметке забрасывания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Кронштейны на опорном каркасе печи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18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Мазутная горелка (подогрев дутья)</w:t>
            </w:r>
          </w:p>
          <w:p>
            <w:r>
              <w:rPr>
                <w:color w:val="666666"/>
                <w:sz w:val="13"/>
              </w:rPr>
              <w:t xml:space="preserve">ГМ-4,5;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Топка-смеситель дутья у печи,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Опорная рама топки-смесителя на самостоятельном фундаменте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Нет; учитываются температурные воздействия от топки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19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Мазутная горелка (разогрев печи)</w:t>
            </w:r>
          </w:p>
          <w:p>
            <w:r>
              <w:rPr>
                <w:color w:val="666666"/>
                <w:sz w:val="13"/>
              </w:rPr>
              <w:t xml:space="preserve">МГМГ-10; кол-во: 3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Горелочные устройства разогрева на корпусе печи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Кронштейны на корпусе печи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20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Дроссельный затвор</w:t>
            </w:r>
          </w:p>
          <w:p>
            <w:r>
              <w:rPr>
                <w:color w:val="666666"/>
                <w:sz w:val="13"/>
              </w:rPr>
              <w:t xml:space="preserve">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Напорный тракт дутья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На трубопроводе; нагрузка на опоры тракта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Учитывается в нагрузке на опоры воздуховода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Газоочистка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Котёл-утилизатор</w:t>
            </w:r>
          </w:p>
          <w:p>
            <w:r>
              <w:rPr>
                <w:color w:val="666666"/>
                <w:sz w:val="13"/>
              </w:rPr>
              <w:t xml:space="preserve">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Самостоятельный каркас рядом с печью; барабан +18…20; бункер со шнеком +4…5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завода; барабан ориентировочно 15–25</w:t>
            </w:r>
          </w:p>
          <w:p>
            <w:r>
              <w:rPr>
                <w:sz w:val="14"/>
              </w:rPr>
              <w:t xml:space="preserve">Рабочая: Собственный вес с водой плюс 30,4 пыли в бункере 15 м³</w:t>
            </w:r>
          </w:p>
          <w:p>
            <w:r>
              <w:rPr>
                <w:color w:val="666666"/>
                <w:sz w:val="13"/>
              </w:rPr>
              <w:t xml:space="preserve">Источник: ИД ч.1 табл. 23, 25; аналоги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и подвески поверхностей нагрева на каркасе котла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Собственный вес котла с водой и 30,4 т пыли в бункере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Нет; определяющие — температурные перемещения и усилия компенсаторов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Одиночный циклон</w:t>
            </w:r>
          </w:p>
          <w:p>
            <w:r>
              <w:rPr>
                <w:color w:val="666666"/>
                <w:sz w:val="13"/>
              </w:rPr>
              <w:t xml:space="preserve">СЦН-50-1800×1УП;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Этажерка газоочистки; высота аппарата 6,1 м, бункер 8,5 м³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1,19</w:t>
            </w:r>
          </w:p>
          <w:p>
            <w:r>
              <w:rPr>
                <w:sz w:val="14"/>
              </w:rPr>
              <w:t xml:space="preserve">Рабочая: 17,4 (1,19 корпус + 16,2 пыли)</w:t>
            </w:r>
          </w:p>
          <w:p>
            <w:r>
              <w:rPr>
                <w:color w:val="666666"/>
                <w:sz w:val="13"/>
              </w:rPr>
              <w:t xml:space="preserve">Источник: ИД ч.1 табл. 23,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балки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17,4 т на узлы опирания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Нет; локальные импульсы при обрушении сводов пыли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Сухой электрофильтр</w:t>
            </w:r>
          </w:p>
          <w:p>
            <w:r>
              <w:rPr>
                <w:color w:val="666666"/>
                <w:sz w:val="13"/>
              </w:rPr>
              <w:t xml:space="preserve">УГТ1-20-4; кол-во: 2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Собственные опорные рамы, оси кратно 6 м; габарит 18,11 × 4,79 × 18,70 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72,6 каждый</w:t>
            </w:r>
          </w:p>
          <w:p>
            <w:r>
              <w:rPr>
                <w:sz w:val="14"/>
              </w:rPr>
              <w:t xml:space="preserve">Рабочая: 89,7 каждый (72,6 корпус + 17,1 пыли)</w:t>
            </w:r>
          </w:p>
          <w:p>
            <w:r>
              <w:rPr>
                <w:color w:val="666666"/>
                <w:sz w:val="13"/>
              </w:rPr>
              <w:t xml:space="preserve">Источник: ИД ч.1 табл. 23, 25;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рамы на самостоятельных фундаментах под каждый корпус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89,7 т на опоры каждого из двух аппаратов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Импульсы механизмов встряхивания; коэффициент 1,1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Дымосос</w:t>
            </w:r>
          </w:p>
          <w:p>
            <w:r>
              <w:rPr>
                <w:color w:val="666666"/>
                <w:sz w:val="13"/>
              </w:rPr>
              <w:t xml:space="preserve">ДН-15БНЖ; кол-во: 2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0,000; индивидуальные фундаменты, отделённые сквозным швом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5,64 агрегат (дымосос 3,32 + двигатель 2,32)</w:t>
            </w:r>
          </w:p>
          <w:p>
            <w:r>
              <w:rPr>
                <w:sz w:val="14"/>
              </w:rPr>
              <w:t xml:space="preserve">Рабочая: 5,64</w:t>
            </w:r>
          </w:p>
          <w:p>
            <w:r>
              <w:rPr>
                <w:color w:val="666666"/>
                <w:sz w:val="13"/>
              </w:rPr>
              <w:t xml:space="preserve">Источник: ИД ч.1 табл. 23;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Массивный блок под общую раму улитки и двигателя; масса блока 45–70 (предварительно)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56,4 кН от агрегата и собственный вес фундаментного блока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Вращающаяся машина, 1500 об/мин, 25 Гц; главный источник динамики цеха; см. раздел 4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Охлаждение продуктов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25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Шнековый холодильник огарка и грубой пыли</w:t>
            </w:r>
          </w:p>
          <w:p>
            <w:r>
              <w:rPr>
                <w:color w:val="666666"/>
                <w:sz w:val="13"/>
              </w:rPr>
              <w:t xml:space="preserve">D2424-6;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 сливным порогом печи, +5,2…5,5 (уточняется КД печи)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12–18 (предварительная оценка)</w:t>
            </w:r>
          </w:p>
          <w:p>
            <w:r>
              <w:rPr>
                <w:sz w:val="14"/>
              </w:rPr>
              <w:t xml:space="preserve">Рабочая: ≈13 с заполнением, дополнительно вода в рубашке</w:t>
            </w:r>
          </w:p>
          <w:p>
            <w:r>
              <w:rPr>
                <w:color w:val="666666"/>
                <w:sz w:val="13"/>
              </w:rPr>
              <w:t xml:space="preserve">Источник: ИД ч.1 табл. 23, 25; оценка Исполнителя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Опорная рама на балках этажерки; фундамент с бортиком и трапом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Принимается верхняя граница оценок (см. примечание 5)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26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Шнековый холодильник тонкой пыли</w:t>
            </w:r>
          </w:p>
          <w:p>
            <w:r>
              <w:rPr>
                <w:color w:val="666666"/>
                <w:sz w:val="13"/>
              </w:rPr>
              <w:t xml:space="preserve">S710-4;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Этажерка охлаждения рядом с холодильником огарка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материалом и водой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Опорная рама на балках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Отгрузка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27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Приёмный бункер охлаждённого огарка и грубой пыли</w:t>
            </w:r>
          </w:p>
          <w:p>
            <w:r>
              <w:rPr>
                <w:color w:val="666666"/>
                <w:sz w:val="13"/>
              </w:rPr>
              <w:t xml:space="preserve">Типа силосной башни;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Силосная башня у автопроезда; низ конуса +4,2, верх ≈+17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изготовителя</w:t>
            </w:r>
          </w:p>
          <w:p>
            <w:r>
              <w:rPr>
                <w:sz w:val="14"/>
              </w:rPr>
              <w:t xml:space="preserve">Рабочая: 221 материала (100 м³ × ≈2,2 т/м³)</w:t>
            </w:r>
          </w:p>
          <w:p>
            <w:r>
              <w:rPr>
                <w:color w:val="666666"/>
                <w:sz w:val="13"/>
              </w:rPr>
              <w:t xml:space="preserve">Источник: ИД ч.1 табл. 25; компоновка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Собственный фундамент под опорное кольцо или стойки башни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221 т материала и собственный вес; давление сыпучего по СП 43.13330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Виброразгружатель — локальные импульсы; узлы крепления на усталость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28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Приёмный бункер охлаждённой тонкой пыли</w:t>
            </w:r>
          </w:p>
          <w:p>
            <w:r>
              <w:rPr>
                <w:color w:val="666666"/>
                <w:sz w:val="13"/>
              </w:rPr>
              <w:t xml:space="preserve">Типа силосной башни;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Силосная башня рядом с силосом огарка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КД изготовителя</w:t>
            </w:r>
          </w:p>
          <w:p>
            <w:r>
              <w:rPr>
                <w:sz w:val="14"/>
              </w:rPr>
              <w:t xml:space="preserve">Рабочая: 17,1 материала (10 м³)</w:t>
            </w:r>
          </w:p>
          <w:p>
            <w:r>
              <w:rPr>
                <w:color w:val="666666"/>
                <w:sz w:val="13"/>
              </w:rPr>
              <w:t xml:space="preserve">Источник: ИД ч.1 табл. 25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Собственный фундамент под опорные стойки башни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17,1 т материала и собственный вес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Виброразгружатель — локальные импульсы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Аспирация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29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Рукавный фильтр(ы) аспирации</w:t>
            </w:r>
          </w:p>
          <w:p>
            <w:r>
              <w:rPr>
                <w:color w:val="666666"/>
                <w:sz w:val="13"/>
              </w:rPr>
              <w:t xml:space="preserve">кол-во: Уточняется в БИ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Отделение аспирации; состав и компоновка уточняются на стадии БИ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пылью в бункере</w:t>
            </w:r>
          </w:p>
          <w:p>
            <w:r>
              <w:rPr>
                <w:color w:val="666666"/>
                <w:sz w:val="13"/>
              </w:rPr>
              <w:t xml:space="preserve">Источник: ТЗ п. 3.4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стойки на самостоятельном фундаменте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Импульсы регенерации рукавов — коэффициент по данным изготовителя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30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Дымосос(ы) аспирации</w:t>
            </w:r>
          </w:p>
          <w:p>
            <w:r>
              <w:rPr>
                <w:color w:val="666666"/>
                <w:sz w:val="13"/>
              </w:rPr>
              <w:t xml:space="preserve">кол-во: Уточняется в БИ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индивидуальные фундаменты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ТЗ п. 3.4;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Фундаментный блок, отделённый швом от пола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Вращающаяся машина; частота и дисбаланс по ТКП; см. раздел 4</w:t>
            </w:r>
          </w:p>
        </w:tc>
      </w:tr>
    </w:tbl>
    <w:p>
      <w:r>
        <w:rPr>
          <w:color w:val="555555"/>
          <w:sz w:val="17"/>
        </w:rPr>
        <w:t xml:space="preserve">Все значения ведомости предварительные и подлежат подтверждению по опросным листам и техническим предложениям изготовителей; коэффициенты, отмеченные как предварительные, приняты решением стадии БИ до получения паспортных данных.</w:t>
      </w:r>
    </w:p>
    <w:p>
      <w:pPr>
        <w:pStyle w:val="Heading2"/>
      </w:pPr>
      <w:r>
        <w:rPr>
          <w:b/>
          <w:sz w:val="24"/>
        </w:rPr>
        <w:t xml:space="preserve">3.1 Примечания к ведомости</w:t>
      </w:r>
    </w:p>
    <w:p>
      <w:r>
        <w:rPr>
          <w:sz w:val="20"/>
        </w:rPr>
        <w:t xml:space="preserve">1. Строка «бункер оборотного огарка 50 м³ — 149,3 т» соответствует насыпной плотности 2,99 т/м³, тогда как для силоса огарка принята плотность 2,21 т/м³. Базис строки запрошен у разработчика исходных данных; до получения ответа в расчёт конструкций принимается большее значение 149,3 т.</w:t>
      </w:r>
    </w:p>
    <w:p>
      <w:r>
        <w:rPr>
          <w:sz w:val="20"/>
        </w:rPr>
        <w:t xml:space="preserve">2. Пылевая нагрузка газоходов (до 50 т на участке «печь — котёл-утилизатор», до 50 т на участке «котёл — циклон», до 10 т на участке «циклон — электрофильтры») учитывается в расчёте опор как длительная: это прямое следствие данных о незавершённом производстве.</w:t>
      </w:r>
    </w:p>
    <w:p>
      <w:r>
        <w:rPr>
          <w:sz w:val="20"/>
        </w:rPr>
        <w:t xml:space="preserve">3. Масса печи с футеровкой 200–230 т — предварительная оценка Исполнителя по геометрии: шамот около 135 т при толщине 350 мм, подина около 30 т, корпус и свод 40–60 т. Значение уточняется конструкторской документацией печи.</w:t>
      </w:r>
    </w:p>
    <w:p>
      <w:r>
        <w:rPr>
          <w:sz w:val="20"/>
        </w:rPr>
        <w:t xml:space="preserve">4. Массы котла-утилизатора и его барабана, воздуходувки, рукавных фильтров вносятся в планы нагрузок итерацией по мере получения конструкторской документации и технических предложений.</w:t>
      </w:r>
    </w:p>
    <w:p>
      <w:r>
        <w:rPr>
          <w:sz w:val="20"/>
        </w:rPr>
        <w:t xml:space="preserve">5. По шнековому холодильнику огарка оценка массы монтажной единицы (12–18 т) и значение реестра нагрузок (около 13 т с заполнением) расходятся; до получения данных изготовителя в расчёт принимается верхняя граница.</w:t>
      </w:r>
    </w:p>
    <w:p>
      <w:r>
        <w:rPr>
          <w:sz w:val="20"/>
        </w:rPr>
        <w:t xml:space="preserve">6. Все узлы опирания оборудования снабжаются планами нагрузок по форме раздела 7: постоянная, длительная от заполнения, кратковременная, динамическая составляющая, момент от эксцентриситетов конусов.</w:t>
      </w:r>
    </w:p>
    <w:p>
      <w:pPr>
        <w:pStyle w:val="Heading2"/>
      </w:pPr>
      <w:r>
        <w:rPr>
          <w:b/>
          <w:sz w:val="24"/>
        </w:rPr>
        <w:t xml:space="preserve">3.2 Прочие нагрузки и воздействия</w:t>
      </w:r>
    </w:p>
    <w:p>
      <w:r>
        <w:rPr>
          <w:sz w:val="20"/>
        </w:rPr>
        <w:t xml:space="preserve">В таблице приведены нагрузки, не отнесённые к отдельным единицам оборудования: нагрузки от трубопроводов и газоходов, крановые, полезные нагрузки перекрытий, монтажные и ремонтные воздействия.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00"/>
        <w:gridCol w:w="1750"/>
        <w:gridCol w:w="1900"/>
        <w:gridCol w:w="2200"/>
        <w:gridCol w:w="1950"/>
        <w:gridCol w:w="1154"/>
      </w:tblGrid>
      <w:tr>
        <w:trPr>
          <w:tblHeader/>
          <w:cantSplit/>
        </w:trPr>
        <w:tc>
          <w:tcPr>
            <w:tcW w:w="40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Место приложения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950" w:type="dxa"/>
            <w:shd w:val="clear" w:fill="EFEFEF"/>
          </w:tcPr>
          <w:p>
            <w:r>
              <w:rPr>
                <w:b/>
                <w:sz w:val="15"/>
              </w:rPr>
              <w:t xml:space="preserve">Учёт в расчёте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Пылевые отложения в газоходе «печь — котёл-утилизатор» Ø2000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Опоры и подвески газохода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До 50 т на участке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Длительная нагрузка на опоры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ИД ч.1 табл. 25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Пылевые отложения в газоходе «котёл-утилизатор — циклон»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Опоры газохода на этажерке газоочистки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До 50 т на участке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Длительная нагрузка на опоры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ИД ч.1 табл. 25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Пылевые отложения в газоходе «циклон — электрофильтры»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Опоры газохода на этажерке газоочистки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До 10 т на участке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Длительная нагрузка на опоры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ИД ч.1 табл. 23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Собственный вес и температурные усилия газоходов с футеровкой ШЛ-0,4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Опоры газоходов Ø2000 и Ø1100, эстакада в сернокислотный цех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Линейная нагрузка по сечению с футеровкой; температура тракта до 400–920 °C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Учитываются усилия компенсаторов и температурные перемещения; нагрузки эстакады — после трассировки по генплану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ИД ч.1 табл. 23; решение БИ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Крановая нагрузка мостового крана пролёта печи и котла-утилизатора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Подкрановые балки и колонны пролёта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Грузоподъёмность предварительно 20/5 т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Вертикальные и горизонтальные составляющие по СП 20.13330, разд. 9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Компоновка БИ; СП 20.13330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Крановая нагрузка кран-балок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Пролёт дымососов, отделение фильтрации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Грузоподъёмность 5 т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Вертикальные и горизонтальные составляющие по СП 20.13330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Компоновка БИ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Полезная нагрузка площадок обслуживания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Перекрытия обслуживания, площадки КИП, проходы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4,0 кПа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Нормативная равномерно распределённая нагрузка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Решение БИ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Полезная нагрузка ремонтных зон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Зоны раскладки футеровки и ремонтные площадки у печи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10 кПа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Учитывается разовая перекладка около 135 т шамота при капитальном ремонте (кампания печи 3 года)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Решение БИ; ИД ч.1 разд. 6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Монтажные нагрузки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Перекрытия и монтажные проёмы над печью и электрофильтрами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Корпусная секция электрофильтра 15–20 т; барабан котла 15–25 т на отметке +18…20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Учитываются при проверке перекрытий и назначении проёмов; окончательно — в проекте производства работ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Оценка Исполнителя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 Сводка определяющих нагрузок лота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4900"/>
        <w:gridCol w:w="14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Материал в бункерах шихтоподготовки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463,9 т суммарно (132,6 + 149,3 + 27,0 + 30,0 + 125,0)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по ИД ч.1 табл. 25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Материал в силосах отгрузки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238,1 т суммарно (221,0 + 17,1)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по ИД ч.1 табл. 25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Пыль в аппаратах газоочистки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80,8 т суммарно (котёл 30,4 + циклон 16,2 + два электрофильтра по 17,1)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по ИД ч.1 табл. 25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Пылевые отложения в газоходах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До 110 т суммарно (50 + 50 + 10)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по ИД ч.1 табл. 25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Печь с загрузкой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340–370 т (конструкция и футеровка 200–230 плюс слой 139)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по ИД ч.1 и оценке Исполнителя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Наибольшая нагрузка от единицы оборудования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89,7 т на опоры каждого электрофильтра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 табл. 23, 25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Динамические нагрузки</w:t>
      </w:r>
    </w:p>
    <w:p>
      <w:r>
        <w:rPr>
          <w:sz w:val="20"/>
        </w:rPr>
        <w:t xml:space="preserve">Основной источник динамики цеха — дымососы газоочистки и дутьевая воздуходувка. Фундаменты машин с динамическими нагрузками рассчитываются по СП 26.13330: назначаются масса и жёсткость фундаментного блока, проверяются амплитуды колебаний опор и выполняется отстройка собственных частот от частоты возмущения. Остальные машины участка тихоходные, их влияние учитывается коэффициентом динамичности к статической нагрузке.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80"/>
        <w:gridCol w:w="1800"/>
        <w:gridCol w:w="1250"/>
        <w:gridCol w:w="1000"/>
        <w:gridCol w:w="2200"/>
        <w:gridCol w:w="2724"/>
      </w:tblGrid>
      <w:tr>
        <w:trPr>
          <w:tblHeader/>
          <w:cantSplit/>
        </w:trPr>
        <w:tc>
          <w:tcPr>
            <w:tcW w:w="38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Машина, воздействие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Частота возмущения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 воздействия</w:t>
            </w:r>
          </w:p>
        </w:tc>
        <w:tc>
          <w:tcPr>
            <w:tcW w:w="2724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требование к фундаменту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Дымосос ДН-15БНЖ</w:t>
            </w:r>
          </w:p>
          <w:p>
            <w:r>
              <w:rPr>
                <w:color w:val="666666"/>
                <w:sz w:val="13"/>
              </w:rPr>
              <w:t xml:space="preserve">2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1500 об/мин — 25 Гц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5,64 (3,32 + 2,32)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Периодическая вынуждающая сила от остаточного дисбаланса ротора; главный источник динамики цеха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Массивный железобетонный блок, отделённый сквозным швом; масса блока предварительно 45–70 т (8–12 масс агрегата); отстройка собственных частот от 25 Гц не менее ±25 %; амплитуды не выше допускаемых по СП 26.13330; класс балансировки ротора G6.3 — в опросный лист</w:t>
            </w:r>
          </w:p>
          <w:p>
            <w:r>
              <w:rPr>
                <w:color w:val="666666"/>
                <w:sz w:val="13"/>
              </w:rPr>
              <w:t xml:space="preserve">Источник: ИД ч.1 табл. 23; решение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Воздуходувка дутьевая</w:t>
            </w:r>
          </w:p>
          <w:p>
            <w:r>
              <w:rPr>
                <w:color w:val="666666"/>
                <w:sz w:val="13"/>
              </w:rPr>
              <w:t xml:space="preserve">1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3000 об/мин — 50 Гц и выше при мультипликаторе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Периодическая вынуждающая сила от дисбаланса ротора; тип машины не определён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Фундамент по паспортным динамическим нагрузкам поставщика; до выбора машины в планах резервируется блок 6 × 4 м с допуском по массе до 60 т</w:t>
            </w:r>
          </w:p>
          <w:p>
            <w:r>
              <w:rPr>
                <w:color w:val="666666"/>
                <w:sz w:val="13"/>
              </w:rPr>
              <w:t xml:space="preserve">Источник: Решение БИ по СП 26.13330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Печь кипящего слоя</w:t>
            </w:r>
          </w:p>
          <w:p>
            <w:r>
              <w:rPr>
                <w:color w:val="666666"/>
                <w:sz w:val="13"/>
              </w:rPr>
              <w:t xml:space="preserve">1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0,5–5 Гц (пульсации слоя)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340–370 с загрузкой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Квазистатическая нагрузка со знакопеременной пульсационной составляющей: перепад 48–53 кПа на площади 28,27 м²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Знакопеременная составляющая принимается предварительно до 1–2 % статической нагрузки; проверяется резонанс плиты и опорного каркаса с низшими тонами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Электрофильтры</w:t>
            </w:r>
          </w:p>
          <w:p>
            <w:r>
              <w:rPr>
                <w:color w:val="666666"/>
                <w:sz w:val="13"/>
              </w:rPr>
              <w:t xml:space="preserve">2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Импульсы встряхивания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89,7 с пылью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Ударные импульсы молотков встряхивания осадительных и коронирующих электродов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Коэффициент 1,1 к статической нагрузке (предварительно); проверка узлов крепления на усталость</w:t>
            </w:r>
          </w:p>
          <w:p>
            <w:r>
              <w:rPr>
                <w:color w:val="666666"/>
                <w:sz w:val="13"/>
              </w:rPr>
              <w:t xml:space="preserve">Источник: ИД ч.1 табл. 23; решение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Смеситель, шнековые холодильники, конвейеры, питатели</w:t>
            </w:r>
          </w:p>
          <w:p>
            <w:r>
              <w:rPr>
                <w:color w:val="666666"/>
                <w:sz w:val="13"/>
              </w:rPr>
              <w:t xml:space="preserve">Комплект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Тихоходные приводы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Малые динамические добавки к статической нагрузке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Коэффициент динамичности 1,1–1,2 (предварительно); отдельные виброфундаменты не требуются</w:t>
            </w:r>
          </w:p>
          <w:p>
            <w:r>
              <w:rPr>
                <w:color w:val="666666"/>
                <w:sz w:val="13"/>
              </w:rPr>
              <w:t xml:space="preserve">Источник: Решение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Вибраторы бункеров и виброразгружатели силосов</w:t>
            </w:r>
          </w:p>
          <w:p>
            <w:r>
              <w:rPr>
                <w:color w:val="666666"/>
                <w:sz w:val="13"/>
              </w:rPr>
              <w:t xml:space="preserve">Комплект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По ТКП побудителей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Локальные импульсные нагрузки, гасятся конструкцией бункера и силоса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Проверка узлов крепления на усталость; передача на этажерку ограничивается упругими элементами</w:t>
            </w:r>
          </w:p>
          <w:p>
            <w:r>
              <w:rPr>
                <w:color w:val="666666"/>
                <w:sz w:val="13"/>
              </w:rPr>
              <w:t xml:space="preserve">Источник: Решение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Мостовой кран и кран-балки</w:t>
            </w:r>
          </w:p>
          <w:p>
            <w:r>
              <w:rPr>
                <w:color w:val="666666"/>
                <w:sz w:val="13"/>
              </w:rPr>
              <w:t xml:space="preserve">3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Циклы подъёма и торможения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20/5 и 5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Вертикальные динамические и горизонтальные тормозные силы на колонны и подкрановые балки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Коэффициенты по СП 20.13330, разд. 9, по группе режима работы</w:t>
            </w:r>
          </w:p>
          <w:p>
            <w:r>
              <w:rPr>
                <w:color w:val="666666"/>
                <w:sz w:val="13"/>
              </w:rPr>
              <w:t xml:space="preserve">Источник: СП 20.13330</w:t>
            </w:r>
          </w:p>
        </w:tc>
      </w:tr>
    </w:tbl>
    <w:p>
      <w:r>
        <w:rPr>
          <w:color w:val="555555"/>
          <w:sz w:val="17"/>
        </w:rPr>
        <w:t xml:space="preserve">Коэффициенты динамичности, массы фундаментных блоков и границы отстройки частот, приведённые выше, предварительные: они приняты решением стадии БИ до получения паспортных динамических данных изготовителей и подлежат подтверждению расчётом амплитуд после выбора машин.</w:t>
      </w:r>
    </w:p>
    <w:p>
      <w:pPr>
        <w:pStyle w:val="Heading2"/>
      </w:pPr>
      <w:r>
        <w:rPr>
          <w:b/>
          <w:sz w:val="24"/>
        </w:rPr>
        <w:t xml:space="preserve">4.1 Общие требования к фундаментам машин с динамическими нагрузками</w:t>
      </w:r>
    </w:p>
    <w:p>
      <w:r>
        <w:rPr>
          <w:sz w:val="20"/>
        </w:rPr>
        <w:t xml:space="preserve">— Фундамент машины отделяется от плиты пола и от каркаса здания сквозным швом; передача вибраций на несущие конструкции и на технологические тракты исключается.</w:t>
      </w:r>
    </w:p>
    <w:p>
      <w:r>
        <w:rPr>
          <w:sz w:val="20"/>
        </w:rPr>
        <w:t xml:space="preserve">— Присоединение трубопроводов и газоходов выполняется через мягкие вставки или линзовые компенсаторы — исключается передача вибрации на тракт и обратное воздействие тракта на опоры машины.</w:t>
      </w:r>
    </w:p>
    <w:p>
      <w:r>
        <w:rPr>
          <w:sz w:val="20"/>
        </w:rPr>
        <w:t xml:space="preserve">— Собственные частоты фундамента отстраиваются от частоты возмущения не менее чем на ±25 % (предварительно); амплитуды колебаний опор — не выше допускаемых по СП 26.13330.</w:t>
      </w:r>
    </w:p>
    <w:p>
      <w:r>
        <w:rPr>
          <w:sz w:val="20"/>
        </w:rPr>
        <w:t xml:space="preserve">— Класс балансировки роторов G6.3 задаётся в опросных листах на машины с вращающимися частями; выверка соосности валов при монтаже — лазерной центровкой, подливка — безусадочными составами.</w:t>
      </w:r>
    </w:p>
    <w:p>
      <w:r>
        <w:rPr>
          <w:sz w:val="20"/>
        </w:rPr>
        <w:t xml:space="preserve">— Предусматриваются штатные точки вибромониторинга машин с интеграцией в АСУТП; уровни вибрации на рабочих местах — по ГОСТ 12.1.012-2004.</w:t>
      </w:r>
    </w:p>
    <w:p>
      <w:r>
        <w:rPr>
          <w:color w:val="555555"/>
          <w:sz w:val="18"/>
        </w:rPr>
        <w:t xml:space="preserve">Выбор между массивным фундаментом и пружинными виброизоляторами под дымососы — предмет технико-экономического обоснования на стадии БИ.</w:t>
      </w:r>
    </w:p>
    <w:p>
      <w:pPr>
        <w:pStyle w:val="Heading1"/>
      </w:pPr>
      <w:r>
        <w:rPr>
          <w:b/>
          <w:sz w:val="28"/>
        </w:rPr>
        <w:t xml:space="preserve">5. Требования к строительной части</w:t>
      </w:r>
    </w:p>
    <w:p>
      <w:r>
        <w:rPr>
          <w:sz w:val="20"/>
        </w:rPr>
        <w:t xml:space="preserve">Требования настоящего раздела выдаются строительному разделу как задание. Они определяют конструктивные элементы, без которых приведённые нагрузки не могут быть восприняты либо оборудование не может быть смонтировано и обслужено.</w:t>
      </w:r>
    </w:p>
    <w:p>
      <w:r>
        <w:rPr>
          <w:b/>
          <w:sz w:val="21"/>
        </w:rPr>
        <w:t xml:space="preserve">Разделение каркасов</w:t>
      </w:r>
    </w:p>
    <w:p>
      <w:r>
        <w:rPr>
          <w:sz w:val="20"/>
        </w:rPr>
        <w:t xml:space="preserve">Этажерки бункерного хозяйства и газоочистки, опорный каркас печи и котла-утилизатора — самостоятельные стальные каркасы, конструктивно отделённые от каркаса здания. Фундаменты дымососов отделяются сквозным швом от пола и каркаса, газоходы присоединяются через мягкие вставки или линзовые компенсаторы.</w:t>
      </w:r>
    </w:p>
    <w:p>
      <w:r>
        <w:rPr>
          <w:b/>
          <w:sz w:val="21"/>
        </w:rPr>
        <w:t xml:space="preserve">Приямки, каналы и проёмы</w:t>
      </w:r>
    </w:p>
    <w:p>
      <w:r>
        <w:rPr>
          <w:sz w:val="20"/>
        </w:rPr>
        <w:t xml:space="preserve">Под печью размещаются газовая коробка, дутьевой коллектор, зона обслуживания сопел и аварийная донная выгрузка в кюбель на отметке 0,000. В перекрытиях над печью и электрофильтрами предусматриваются монтажные проёмы. Проезд автоцементовозов и вывоза кюбелей — сквозной, с воротами в торцах.</w:t>
      </w:r>
    </w:p>
    <w:p>
      <w:r>
        <w:rPr>
          <w:b/>
          <w:sz w:val="21"/>
        </w:rPr>
        <w:t xml:space="preserve">Полы, бортики и трапы</w:t>
      </w:r>
    </w:p>
    <w:p>
      <w:r>
        <w:rPr>
          <w:sz w:val="20"/>
        </w:rPr>
        <w:t xml:space="preserve">Фундаменты и полы «мокрых» и пылевых зон — холодильники, силосы, узел фильтрации — выполняются с бортиками и трапами. Зона приёмки и переработки цементной меди — полы из кислотоупорного бетона с дренажными канавками.</w:t>
      </w:r>
    </w:p>
    <w:p>
      <w:r>
        <w:rPr>
          <w:b/>
          <w:sz w:val="21"/>
        </w:rPr>
        <w:t xml:space="preserve">Температурные воздействия</w:t>
      </w:r>
    </w:p>
    <w:p>
      <w:r>
        <w:rPr>
          <w:sz w:val="20"/>
        </w:rPr>
        <w:t xml:space="preserve">Локальный нагрев конструкций у печи и газоходов (тракт до 400–920 °C) компенсируется тепловыми экранами и вентилируемыми зазорами; расчётный температурный перепад для этажерки печи ±40 °C.</w:t>
      </w:r>
    </w:p>
    <w:p>
      <w:r>
        <w:rPr>
          <w:b/>
          <w:sz w:val="21"/>
        </w:rPr>
        <w:t xml:space="preserve">Ремонтные зоны</w:t>
      </w:r>
    </w:p>
    <w:p>
      <w:r>
        <w:rPr>
          <w:sz w:val="20"/>
        </w:rPr>
        <w:t xml:space="preserve">Предусматриваются зона раскладки футеровки и путь подачи материала при капитальном ремонте печи: разовая перекладка около 135 т шамота при кампании печи 3 года; полезная нагрузка ремонтных зон 10 кПа.</w:t>
      </w:r>
    </w:p>
    <w:p>
      <w:r>
        <w:rPr>
          <w:b/>
          <w:sz w:val="21"/>
        </w:rPr>
        <w:t xml:space="preserve">Анкеровка оборудования</w:t>
      </w:r>
    </w:p>
    <w:p>
      <w:r>
        <w:rPr>
          <w:sz w:val="20"/>
        </w:rPr>
        <w:t xml:space="preserve">Закладные детали и фундаментные болты — по ГОСТ 24379.1-2012; подливка динамического оборудования безусадочными составами. На планах фундаментов приводится привязка болтов по каждому узлу.</w:t>
      </w:r>
    </w:p>
    <w:p>
      <w:pPr>
        <w:pStyle w:val="Heading1"/>
      </w:pPr>
      <w:r>
        <w:rPr>
          <w:b/>
          <w:sz w:val="28"/>
        </w:rPr>
        <w:t xml:space="preserve">6. Характеристики, уточняемые по техническим предложениям изготовителей</w:t>
      </w:r>
    </w:p>
    <w:p>
      <w:r>
        <w:rPr>
          <w:sz w:val="20"/>
        </w:rPr>
        <w:t xml:space="preserve">Позиции ведомости с записью «по ТКП изготовителя» уточняются в следующем порядке: опросный лист с обязательным перечнем запрашиваемых характеристик — техническое предложение изготовителя — строительное задание с окончательными нагрузками на узлы опирания — поверочный расчёт конструкций и фундаментов. Перечень характеристик, включаемых в опросные листы,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данных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Запрашиваемые характеристики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Массы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Масса пустого аппарата или машины, масса в рабочем состоянии, масса при гидроиспытании и при монтаже; масса наибольшей неразъёмной части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Геометрия опирания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и число опор, координаты опор относительно осей, тип опорного узла (лапы, юбка, рама), координаты центра тяжести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Разложение нагрузок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Распределение нагрузок по опорам с разложением по осям X, Y, Z для режимов: монтаж, гидроиспытание, нормальная работа, аварийная загрузка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Коэффициенты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Коэффициенты надёжности по нагрузке и коэффициенты динамичности, принятые изготовителем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Динамические данные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Частоты вращения и вынуждающих сил, неуравновешенные силы и моменты, класс балансировки роторов, допускаемые амплитуды колебаний опор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Требования к основанию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Требования к жёсткости основания, допускаемые осадки и их неравномерность, допускаемые уклоны и перекосы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Анкеровка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фундаментных болтов и закладных деталей, усилия затяжки, требования к подливке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Температурные условия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Тепловые перемещения опорных узлов, требования к подвижным опорам и компенсаторам</w:t>
            </w:r>
          </w:p>
        </w:tc>
      </w:tr>
    </w:tbl>
    <w:p>
      <w:r>
        <w:rPr>
          <w:sz w:val="20"/>
        </w:rPr>
        <w:t xml:space="preserve">До получения этих данных нагрузки настоящего документа используются как предварительные: конструктивные решения принимаются по верхней границе диапазонов, а в планах резервируются место установки, монтажные проёмы и предельная масса оборудования.</w:t>
      </w:r>
    </w:p>
    <w:p>
      <w:pPr>
        <w:pStyle w:val="Heading1"/>
      </w:pPr>
      <w:r>
        <w:rPr>
          <w:b/>
          <w:sz w:val="28"/>
        </w:rPr>
        <w:t xml:space="preserve">7. Форма представления нагрузок на планах</w:t>
      </w:r>
    </w:p>
    <w:p>
      <w:r>
        <w:rPr>
          <w:sz w:val="20"/>
        </w:rPr>
        <w:t xml:space="preserve">На планах строительных конструкций и фундаментов для каждого узла опирания оборудования приводится таблица нагрузок следующего состава. Форма единая для всех лотов выпуска; значения заполняются по ведомости настоящего документа и уточняются по мере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400"/>
        <w:gridCol w:w="7954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Графа</w:t>
            </w:r>
          </w:p>
        </w:tc>
        <w:tc>
          <w:tcPr>
            <w:tcW w:w="7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пост.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Постоянная вертикальная нагрузка — собственный вес оборудования, футеровки и опорных конструкций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длит.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Длительная вертикальная нагрузка от заполнения: материал, раствор, вода, пылевые отложения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кратк.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Кратковременная нагрузка: обслуживание, ремонтные операции, монтажные и испытательные режимы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F дин.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Динамическая составляющая: амплитуда и частота вынуждающей силы, допускаемая амплитуда колебаний опоры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M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Момент от эксцентриситетов конусов, патрубков и присоединяемых трубопроводов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H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Горизонтальные усилия: тормозные, температурные, ветровые и сейсмические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Привязка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Привязка узла к осям и отметкам, схема фундаментных болтов и закладных деталей</w:t>
            </w:r>
          </w:p>
        </w:tc>
      </w:tr>
    </w:tbl>
    <w:p>
      <w:r>
        <w:rPr>
          <w:sz w:val="20"/>
        </w:rPr>
        <w:t xml:space="preserve">Дополнительно на планах указываются: привязка оборудования к разбивочным осям и отметкам, габариты опорных конструкций, зоны обслуживания и монтажные проёмы, границы конструктивно самостоятельных блоков и деформационных швов.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изысканий, обследования либо технических предложений изготовителей. Каждая позиция закрывается до выдачи строительного задания.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Базис строки табл. 25 «бункер оборотного огарка 50 м³ — 149,3 т» (2,99 т/м³ против 2,21 т/м³ силоса огарка) — запрос разработчику исходных данных; до ответа в расчёт конструкций принимается 149,3 т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котла-утилизатора, барабана, воздуходувки, рукавных фильтров — по техническим предложениям и конструкторской документации заводов (закладываются в планы нагрузок итерацией)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Класс ответственности этажерки печи (КС-2 или КС-3) — согласуется с генеральным проектировщиком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Нагрузки от эстакады газохода в сернокислотный цех — после трассировки по генплану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Инженерно-геологические изыскания пятна застройки (модуль деформации, уровень грунтовых вод) — задание на изыскания в составе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Паспортные динамические нагрузки дымососа и воздуходувки — по опросным листам поставщиков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Необходимость виброизоляторов под дымосос (пружинные блоки) против массивного фундамента — технико-экономическое обоснование на стадии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Масса шнекового холодильника огарка: оценка по монтажной единице (12–18 т) и значение реестра нагрузок (около 13 т с заполнением) расходятся; до получения данных изготовителя в расчёт принимается верхняя граница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Грузоподъёмность мостового крана пролёта печи и котла-утилизатора (предварительно 20/5 т) назначается по массе барабана котла после выдачи конструкторской документации завода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и количество рукавных фильтров и дымососов аспирации — после определения состава системы аспирации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