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Назначение альбома</w:t>
      </w:r>
    </w:p>
    <w:p>
      <w:r>
        <w:rPr>
          <w:sz w:val="20"/>
        </w:rPr>
        <w:t xml:space="preserve">Альбом содержит опросные листы основного технологического оборудования Лота №1 «Цех обжига» и выпускается в составе Базового инжиниринга по пункту состава D-21 технического задания (комплект опросных листов на основное технологическое оборудование). Опросные листы предназначены для запроса технико-коммерческих предложений (ТКП) изготовителей и поставщиков оборудования и служат исходным документом для бюджетной оценки стоимости комплектной поставки лота.</w:t>
      </w:r>
    </w:p>
    <w:p>
      <w:r>
        <w:rPr>
          <w:sz w:val="20"/>
        </w:rPr>
        <w:t xml:space="preserve">Каждый опросный лист содержит: перечень позиций перечня оборудования, закрываемых листом; таблицу технических характеристик с указанием источника каждого значения — исходные данные Заказчика (ИД ч.1/ч.2), техническое задание на БИ (ред. 4.1) и решения Базового инжиниринга; строки закладных решений для последующей цифровизации (признак «Закладная (цифровизация)»); состав ответа поставщика.</w:t>
      </w:r>
    </w:p>
    <w:p>
      <w:r>
        <w:rPr>
          <w:sz w:val="20"/>
        </w:rPr>
        <w:t xml:space="preserve">Значения в графе «Значение» являются исходными требованиями к оборудованию. Поля, выделенные цветом, с записью «уточняется по ТКП» заполняет изготовитель. Значения с пометкой «оценка» или «ориентир» предварительные и подлежат подтверждению изготовителем в составе ТКП.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6154"/>
      </w:tblGrid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Лот №1 «Цех обжига»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Пункт состава БИ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D-21 — опросные листы основного оборудования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Опросных листов в альбоме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7 (ОЛ-ОВЭ75-01, 02, 03, 04, 05, 06, 07)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Нумерация листов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Сквозная по комплексу ОВЭ-75; номер листа сохраняется во всех документах БИ</w:t>
            </w:r>
          </w:p>
        </w:tc>
      </w:tr>
      <w:tr>
        <w:tc>
          <w:tcPr>
            <w:tcW w:w="32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</w:t>
            </w:r>
          </w:p>
        </w:tc>
        <w:tc>
          <w:tcPr>
            <w:tcW w:w="6154" w:type="dxa"/>
          </w:tcPr>
          <w:p>
            <w:r>
              <w:rPr>
                <w:sz w:val="19"/>
              </w:rPr>
              <w:t xml:space="preserve">ТЗ на БИ ред. 4.1 от 25.08.2026 с приложениями; исходные данные Заказчика (части 1 и 2); решения Базового инжиниринга по лоту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Требования лота к опросным листам</w:t>
      </w:r>
    </w:p>
    <w:p>
      <w:r>
        <w:rPr>
          <w:sz w:val="20"/>
        </w:rPr>
        <w:t xml:space="preserve">Требования, общие для всех листов альбома; в скобках — источник требования.</w:t>
      </w:r>
    </w:p>
    <w:p>
      <w:r>
        <w:rPr>
          <w:sz w:val="20"/>
        </w:rPr>
        <w:t xml:space="preserve">— В опросные листы вносятся параметры двух вариантов обжига (основной и вспомогательный) как два расчётных режима: газовый тракт, котёл-утилизатор и дымососы выбираются по вспомогательному варианту (больший объём газа — 21 830 нм³/ч, 5 426 Па), кислородный узел — по основному (4 687 нм³/ч O₂).</w:t>
      </w:r>
      <w:r>
        <w:rPr>
          <w:color w:val="666666"/>
          <w:sz w:val="17"/>
        </w:rPr>
        <w:t xml:space="preserve"> (ИД ч.1 табл. 23 п. 198, 357, 398; решение БИ)</w:t>
      </w:r>
    </w:p>
    <w:p>
      <w:r>
        <w:rPr>
          <w:sz w:val="20"/>
        </w:rPr>
        <w:t xml:space="preserve">— Для динамических машин (дымососы, воздуходувка) в ответе изготовителя требуются паспортные динамические нагрузки и класс балансировки ротора.</w:t>
      </w:r>
      <w:r>
        <w:rPr>
          <w:color w:val="666666"/>
          <w:sz w:val="17"/>
        </w:rPr>
        <w:t xml:space="preserve"> (решение БИ)</w:t>
      </w:r>
    </w:p>
    <w:p>
      <w:r>
        <w:rPr>
          <w:sz w:val="20"/>
        </w:rPr>
        <w:t xml:space="preserve">— Для электрофильтров — гарантия остаточной запылённости не более 0,1 г/нм³ при расходе 21 830 нм³/ч; для рукавных фильтров аспирации — не более 10 мг/нм³.</w:t>
      </w:r>
      <w:r>
        <w:rPr>
          <w:color w:val="666666"/>
          <w:sz w:val="17"/>
        </w:rPr>
        <w:t xml:space="preserve"> (ИД ч.1 табл. 23; решение БИ)</w:t>
      </w:r>
    </w:p>
    <w:p>
      <w:r>
        <w:rPr>
          <w:sz w:val="20"/>
        </w:rPr>
        <w:t xml:space="preserve">— Все средства измерений в составе поставки — внесённые в Государственный реестр средств измерений, с первичной поверкой.</w:t>
      </w:r>
      <w:r>
        <w:rPr>
          <w:color w:val="666666"/>
          <w:sz w:val="17"/>
        </w:rPr>
        <w:t xml:space="preserve"> (ТЗ на БИ ред. 4.1, Приложение №5)</w:t>
      </w:r>
    </w:p>
    <w:p>
      <w:r>
        <w:rPr>
          <w:sz w:val="20"/>
        </w:rPr>
        <w:t xml:space="preserve">— Обязательная оценка соответствия оборудования по ТР ТС 010/2011 и ТР ТС 032/2013 фиксируется в листе.</w:t>
      </w:r>
      <w:r>
        <w:rPr>
          <w:color w:val="666666"/>
          <w:sz w:val="17"/>
        </w:rPr>
        <w:t xml:space="preserve"> (ТР ТС 010/2011, ТР ТС 032/2013)</w:t>
      </w:r>
    </w:p>
    <w:p>
      <w:pPr>
        <w:pStyle w:val="Heading1"/>
      </w:pPr>
      <w:r>
        <w:rPr>
          <w:b/>
          <w:sz w:val="28"/>
        </w:rPr>
        <w:t xml:space="preserve">Порядок заполнения изготовителем</w:t>
      </w:r>
    </w:p>
    <w:p>
      <w:r>
        <w:rPr>
          <w:b/>
          <w:sz w:val="20"/>
        </w:rPr>
        <w:t xml:space="preserve">1. </w:t>
      </w:r>
      <w:r>
        <w:rPr>
          <w:sz w:val="20"/>
        </w:rPr>
        <w:t xml:space="preserve">Проверить исходные требования в графе «Значение» и подтвердить их выполнение. Отступления от требований приводятся явно — в графе «Значение» соответствующей строки либо отдельным перечнем отклонений с обоснованием; ответ без указания отклонений считается подтверждением требований.</w:t>
      </w:r>
    </w:p>
    <w:p>
      <w:r>
        <w:rPr>
          <w:b/>
          <w:sz w:val="20"/>
        </w:rPr>
        <w:t xml:space="preserve">2. </w:t>
      </w:r>
      <w:r>
        <w:rPr>
          <w:sz w:val="20"/>
        </w:rPr>
        <w:t xml:space="preserve">Заполнить поля, выделенные цветом («уточняется по ТКП»), фактическими данными предлагаемого оборудования: тип и типоразмер, характеристики, материалы, массы, габариты, комплектность, сроки.</w:t>
      </w:r>
    </w:p>
    <w:p>
      <w:r>
        <w:rPr>
          <w:b/>
          <w:sz w:val="20"/>
        </w:rPr>
        <w:t xml:space="preserve">3. </w:t>
      </w:r>
      <w:r>
        <w:rPr>
          <w:sz w:val="20"/>
        </w:rPr>
        <w:t xml:space="preserve">По строкам с признаком «Закладная (цифровизация)» подтвердить включение в объём поставки либо указать отступления; закладные решения не изменяют принятую технологию и гарантии по производительности.</w:t>
      </w:r>
    </w:p>
    <w:p>
      <w:r>
        <w:rPr>
          <w:b/>
          <w:sz w:val="20"/>
        </w:rPr>
        <w:t xml:space="preserve">4. </w:t>
      </w:r>
      <w:r>
        <w:rPr>
          <w:sz w:val="20"/>
        </w:rPr>
        <w:t xml:space="preserve">Приложить документы, перечисленные в разделе «Состав ответа поставщика» каждого листа: ТКП с ценой, сроком изготовления и условиями поставки; чертёж общего вида и массогабаритные характеристики; членение на поставочные блоки; подтверждение материального исполнения; объём шеф-монтажа, пусконаладки и ЗИП; референс-лист аналогичных поставок.</w:t>
      </w:r>
    </w:p>
    <w:p>
      <w:r>
        <w:rPr>
          <w:b/>
          <w:sz w:val="20"/>
        </w:rPr>
        <w:t xml:space="preserve">5. </w:t>
      </w:r>
      <w:r>
        <w:rPr>
          <w:sz w:val="20"/>
        </w:rPr>
        <w:t xml:space="preserve">Единицы измерения — СИ. Нумерация, наименования и порядок строк листа изменению не подлежат; дополнительные данные приводятся отдельными строками в конце таблицы характеристик.</w:t>
      </w:r>
    </w:p>
    <w:p>
      <w:r>
        <w:rPr>
          <w:b/>
          <w:sz w:val="20"/>
        </w:rPr>
        <w:t xml:space="preserve">6. </w:t>
      </w:r>
      <w:r>
        <w:rPr>
          <w:sz w:val="20"/>
        </w:rPr>
        <w:t xml:space="preserve">Заполненный лист возвращается вместе с ТКП; лист с незаполненными выделенными полями считается неполным ответом.</w:t>
      </w:r>
    </w:p>
    <w:p>
      <w:pPr>
        <w:pStyle w:val="Heading1"/>
      </w:pPr>
      <w:r>
        <w:rPr>
          <w:b/>
          <w:sz w:val="28"/>
        </w:rPr>
        <w:t xml:space="preserve">Состав альбома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00"/>
        <w:gridCol w:w="3100"/>
        <w:gridCol w:w="1900"/>
        <w:gridCol w:w="1554"/>
        <w:gridCol w:w="1300"/>
      </w:tblGrid>
      <w:tr>
        <w:tc>
          <w:tcPr>
            <w:tcW w:w="1500" w:type="dxa"/>
            <w:shd w:val="clear" w:fill="EFEFEF"/>
          </w:tcPr>
          <w:p>
            <w:r>
              <w:rPr>
                <w:b/>
                <w:sz w:val="18"/>
              </w:rPr>
              <w:t xml:space="preserve">№ ОЛ</w:t>
            </w:r>
          </w:p>
        </w:tc>
        <w:tc>
          <w:tcPr>
            <w:tcW w:w="3100" w:type="dxa"/>
            <w:shd w:val="clear" w:fill="EFEFEF"/>
          </w:tcPr>
          <w:p>
            <w:r>
              <w:rPr>
                <w:b/>
                <w:sz w:val="18"/>
              </w:rPr>
              <w:t xml:space="preserve">Оборудование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8"/>
              </w:rPr>
              <w:t xml:space="preserve">Участок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8"/>
              </w:rPr>
              <w:t xml:space="preserve">Кол-во по перечню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8"/>
              </w:rPr>
              <w:t xml:space="preserve">Позиции перечня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ОЛ-ОВЭ75-01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Печь кипящего слоя (КС)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Обжиг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ОЛ-ОВЭ75-02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ОЛ-ОВЭ75-03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Циклоны (одиночный циклон газоочистки)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ОЛ-ОВЭ75-04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Электрофильтр сухой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ОЛ-ОВЭ75-05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Дымосос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Газоочистка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ОЛ-ОВЭ75-06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Обжиг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по ТЗ на БИ, п. 3.4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w="1500" w:type="dxa"/>
          </w:tcPr>
          <w:p>
            <w:r>
              <w:rPr>
                <w:sz w:val="18"/>
              </w:rPr>
              <w:t xml:space="preserve">ОЛ-ОВЭ75-07</w:t>
            </w:r>
          </w:p>
        </w:tc>
        <w:tc>
          <w:tcPr>
            <w:tcW w:w="3100" w:type="dxa"/>
          </w:tcPr>
          <w:p>
            <w:r>
              <w:rPr>
                <w:sz w:val="18"/>
              </w:rPr>
              <w:t xml:space="preserve">Вакуум-фильтр барабанный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Фильтрация концентрата</w:t>
            </w:r>
          </w:p>
        </w:tc>
        <w:tc>
          <w:tcPr>
            <w:tcW w:w="1554" w:type="dxa"/>
          </w:tcPr>
          <w:p>
            <w:r>
              <w:rPr>
                <w:sz w:val="18"/>
              </w:rPr>
              <w:t xml:space="preserve">Уточняется в БИ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—</w:t>
            </w:r>
          </w:p>
        </w:tc>
      </w:tr>
    </w:tbl>
    <w:p>
      <w:r>
        <w:rPr>
          <w:i/>
          <w:color w:val="555555"/>
          <w:sz w:val="18"/>
        </w:rPr>
        <w:t xml:space="preserve">Количество и позиции — по перечню основного оборудования лота (ИД ч.1 табл. 24, ИД ч.2 табл. 4.1 и 4.2, ТЗ на БИ ред. 4.1); «—» — позиция без номера в исходных данных.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ОЛ-ОВЭ75-01. Печь кипящего слоя (КС)</w:t>
      </w:r>
    </w:p>
    <w:p>
      <w:r>
        <w:rPr>
          <w:i/>
          <w:color w:val="555555"/>
          <w:sz w:val="18"/>
        </w:rPr>
        <w:t xml:space="preserve">Лот №1 «Цех обжига», участок «Обжиг»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Печь кипящего слоя (КС) · Характеристики по ИД ч.1 табл. 23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по шихте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Производительность 10–16 т/ч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Геометрия аппарата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Ø6000/8390 мм, H=9200 мм, подина 28,27 м², 583 сопла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п.214-217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Температура слоя / время пребывания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930 °C / 9 ч; единовременно 139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п.230, 232-233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Единовременная загрузка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Единомоментное количество огарка в печи — 139,0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Дутьё (осн./вспом. вариант)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11 342 нм³/ч, 52,0 % O₂, 25 °C / 19 146 нм³/ч, 30,8 % O₂, 455,3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п.197-200, 223-225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Удельная производительность подины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13,113 т/(м²·сут) по шихте; 2,626 т/(м²·сут) по сере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п.218-219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Тепловой эффект окисления шихты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2,3783 ГДж/т; 36,74 / 48,71 ГДж/ч в слое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п.238-239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(оценка)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200–230 т конструкция+футеровка (уточняется КД)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оценка Исполнителя по геометрии ИД табл. 23 п.214-216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Сушка футеровки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первичная 10–30 сут; после капремонта 3–5 сут (цикл 29–31 сут)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6; кривая — проект футеровки (стадия БИ)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Изготовление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Комплектность поставки (сопла, футеровка, КИП, ЗИП)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состав поставки — 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 (габариты доставки)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Срок изготовления и поставки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гильзы термопар слоя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8–10 закладных гильз на двух уровнях и четырёх радиусах; включить в задание на проект футеровки до его заказа — установка после кладки невозможна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гильзы термопар кладки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12–18 закладных гильз по 2–3 поясам с кабельными выводами; в объём изготовителя печи и проект футеровки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резервные точки отбора давления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резервные импульсные точки давления слоя и газовой коробки с непрерывной продувкой воздухом КИП 0,3–0,5 МПа; сигналы — на каналы АЦП с опросом не ниже 100 Гц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площадки под акселерометры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две обработанные площадки на корпусе печи под вибропреобразователи; выполняются при изготовлении, врезка в работающую печь исключена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ОЛ-ОВЭ75-02. Котёл-утилизатор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Расход газа / параметры пара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30 000 нм³/ч; пар 1,9 МПа, 375 °С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Тепловосприятие (осн./вспом.)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11,30 / 17,845 ГДж/ч; газ 882,8→400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п.278-281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Паропроизводительность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4,102 / 6,476 т/ч (1,9 МПа, 375 °C), сходимость с энтальпийным расчётом ≤0,2 %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п.282; проверочный расчёт Исполнителя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Годовая выдача пара (до РОУ)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1,9 МПа, 375 °C; 4,102/6,476 т/ч (32 488/51 290 т/год)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п.267-268, 282;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Питательная вода (ХОВ)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4,31 / 6,80 т/ч, 105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26; табл. 23 п.269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Бункер пылесборника / НЗП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Углеродистая сталь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Гидроиспытание (ориентир)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1,25 × 1,9 МПа ≈ 2,38 МПа, до изоляции и обмуровки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ФНП № 536; окончательно — расчёт завода-изготовителя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Перепроектируется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Поверхности нагрева и компоновка (радиация/конвекция/экономайзер)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завода-изготовителя — по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Способ очистки поверхностей нагрева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мехобстукивание, термоволновая)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 и членение поставочных блоков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узлы учёта тепла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теплосчётчики пара КУ (вихревой расходомер с коррекцией по давлению и температуре), питательной воды и конденсата; предусмотреть прямые участки и штуцера в обвязке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бобышки поверхностных термопар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4–6 привариваемых бобышек под поверхностные термопары (тепловой баланс печи и КУ в реальном времени); установка в период строительства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обвязка РОУ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тройники и отсечная арматура байпаса под будущую противодавленческую машину 150–300 кВт; площадка 6×4 м с фундаментом, трасса 0,4 кВ и ячейка 0,4 кВ; РОУ остаётся 100 % резервом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2/14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ОЛ-ОВЭ75-03. Циклоны (одиночный циклон газоочистки)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Одиночный циклон · СЦН-50-1800×1УП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СЦН-50-1800×1УП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32 000 м³/ч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Высота / бункер пылесборника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6 100 мм (+ бункер 8,5 м³)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п.301-302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Бункер и НЗП по перечню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Объём бункера пылесборника 8,5 м³; НЗП в газоходе «КУ – циклон» 50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Масса, монтаж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1,189 т, H=6,1 м — единым блоком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п.302, 312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Гидравлическое сопротивление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868/2232 Па осн./вспом.)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Опоры, теплоизоляция, обогрев бункера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ОЛ-ОВЭ75-04. Электрофильтр сухой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Сухой электрофильтр · УГТ1-20-4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УГТ1-20-4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Очистка газа от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/ электропитание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57 600 м³/ч; электропитание 80 кВ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 (1 резерв), по 72,6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п.331, 355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Габаритные размеры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18 110 × 4 790 × 18 695 мм, 2 шт.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п.354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Остаточная запылённость (гарантия)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≤0,1 г/нм³ (≤100 мг/нм³)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п.402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Эффективность в цепочке газоочистки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КУ (η 45 %) → циклон СЦН-50 (73,6 %) → ЭФ УГТ1-20-4 (99,7 %) → ДН-15БНЖ; суммарно 99,95 %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разд. 2.5; табл. 23 п.292, 328, 372, 399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Мощность агрегатов питания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0,4×80 кВ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253 440 кВт·ч/год (3,556 кВт·ч/т Cu)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Блокировки / защита от точки росы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блокировка полей при T&lt;320 °C (запас ≈100 °C к расчётной точке росы H₂SO₄ 221/209 °C — расчётная записка КВАНТ) и max пыли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БИ; ИД табл. 23 п.275 (SO₃ 0,75 %)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Условия включения полей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только при T газа &gt;320 °C (точка росы 221/209 °C)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БИ; расчётная записка КВАНТ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Монтажные массы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ЭФ 72,6 т (секциями по 15–20 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п.354-355; разбивка — оценка Исполнителя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Бункеры / НЗП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Объём бункера пылесборника 10 м³; НЗП в газоходе «циклон – ЭФ» 10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Число и длина полей, тип агрегатов питания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4 поля по 2500 мм, ОПМД-400 до 80 кВ)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Система встряхивания и обогрев бункеров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агрегаты питания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микропроцессорные контроллеры с полупериодным режимом и цифровым интерфейсом; поосная телеметрия напряжения, тока и частоты искрений (12–16 сигналов на аппарат) по Modbus TCP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регистрация ВАХ полей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выдача вольт-амперных характеристик полей и счётчиков искрений в АСУТП для автоматического сравнения с эталонными характеристиками, снимаемыми на пусконаладке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контроль холодных точек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приварные бобышки под 12–20 поверхностных термопар на бункерах и изоляторных коробках, управляемый обогрев бункеров комплектно с аппаратом; 2–3 штуцера Ду50 под зонды скорости коррозии на прилегающих участках газохода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1/8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ОЛ-ОВЭ75-05. Дымосос</w:t>
      </w:r>
    </w:p>
    <w:p>
      <w:r>
        <w:rPr>
          <w:i/>
          <w:color w:val="555555"/>
          <w:sz w:val="18"/>
        </w:rPr>
        <w:t xml:space="preserve">Лот №1 «Цех обжига», участок «Газоочистка»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Дымосос · ДН-15БНЖ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Типоразмер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ДН-15БНЖ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по газу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До 78 000 м³/ч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 / комплектация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шт. (1 резерв), 400 кВт, 6 кВ, 1500 об/мин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п.380-392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Сталь 12Х18Н10Т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марка нормализована (в ИД опечатка «12Х1812Т»)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Привод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400 кВт, 6000 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Динамика (частота возмущения, масса агрегата)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25 Гц (1500 об/мин), агрегат 5,64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п.391-392, 397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Массы дымососа / двигателя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3,32 т / 2,32 т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п.392, 397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Температура перемещаемого газа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387 °C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п.403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Годовой расход электроэнергии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3 168 000 кВт·ч/год (44,454 кВт·ч/т Cu)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Полное давление (напор)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подтвердить в ТКП (ориентир ИД: 1650–7800 Па)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Регулирование производительности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рекомендован ЧРП — подтвердить схему регулирования в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Класс балансировки ротора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изготовителя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площадки под вибродатчики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обработанные площадки и шпильки под акселерометры на всех подшипниковых опорах (заводская комплектация); два канала на опору — горизонтальное и вертикальное направления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частотно-регулируемый привод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ЧРП — обязательное решение вместо направляющего аппарата (нормировано 400 кВт при потребных 150–250 кВт; экономия 0,7–1,2 ГВт·ч/год); регулирование по разрежению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токовая диагностика двигателя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измерительные трансформаторы тока фидера 6 кВ под токосигнатурный анализ двигателя 400 кВт — требование в задание на КРУ 6 кВ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раздел «мониторинг состояния»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выдача значений (не битовых статусов) вибрации, температур подшипников, наработки, счётчиков пусков и токов по Modbus TCP; карта регистров — в составе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1/35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ОЛ-ОВЭ75-06. Воздуходувка дутьевая</w:t>
      </w:r>
    </w:p>
    <w:p>
      <w:r>
        <w:rPr>
          <w:i/>
          <w:color w:val="555555"/>
          <w:sz w:val="18"/>
        </w:rPr>
        <w:t xml:space="preserve">Лот №1 «Цех обжига», участок «Обжиг»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по ТЗ на БИ, п. 3.4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Создание псевдоожиженного слоя в печи КС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Производительность / давление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 ТЗ на БИ, п. 3.4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Мощность привода (оценка)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≈220 кВт (осн.) / ≈410 кВт (вспом.) на валу при 0,09–0,12 МПа изб. (π ≈ 2,0; L1-EL) — уточняется выбором машины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расчёт КВАНТ, блок L1-EL; ИД табл. 23 п.197-199, 226-228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Годовой расход технологического воздуха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52,708 / 99,887 млн нм³/год (739,6 / 1401,7 нм³/т)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26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Резерв под фундамент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блок 6×4 м, до 60 т — до выбора машины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решение БИ (машина не выбрана — см. открытые вопросы)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Тип машины (центробежная/винтовая), рабочие/резервные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Схема регулирования производительности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Шумовые характеристики и виброизоляция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площадки под вибродатчики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обработанные площадки и шпильки под акселерометры на всех подшипниковых опорах (заводская комплектация); подтверждение класса балансировки G6.3 при приёмке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1/11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частотно-регулируемый привод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ЧРП как точный орган контура соотношения кислород/воздух — уставка расхода отрабатывается приводом без дросселирования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раздел «мониторинг состояния»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встроенные датчики вибрации и температуры подшипников, наработка, счётчики пусков, токи привода — выдача значений (не битовых статусов) по Modbus TCP; карта регистров — в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ред. 2.0, п. 1/35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  <w:pageBreakBefore/>
      </w:pPr>
      <w:r>
        <w:rPr>
          <w:b/>
          <w:sz w:val="28"/>
        </w:rPr>
        <w:t xml:space="preserve">Опросный лист ОЛ-ОВЭ75-07. Вакуум-фильтр барабанный</w:t>
      </w:r>
    </w:p>
    <w:p>
      <w:r>
        <w:rPr>
          <w:i/>
          <w:color w:val="555555"/>
          <w:sz w:val="18"/>
        </w:rPr>
        <w:t xml:space="preserve">Лот №1 «Цех обжига», участок «Фильтрация концентрата»</w:t>
      </w:r>
    </w:p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067"/>
        <w:gridCol w:w="4889"/>
        <w:gridCol w:w="1746"/>
        <w:gridCol w:w="1649"/>
      </w:tblGrid>
      <w:tr>
        <w:trPr>
          <w:cantSplit/>
          <w:tblHeader/>
        </w:trPr>
        <w:tc>
          <w:tcPr>
            <w:tcW w:w="1067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4889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746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649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w="1067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4889" w:type="dxa"/>
          </w:tcPr>
          <w:p>
            <w:r>
              <w:rPr>
                <w:sz w:val="18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1746" w:type="dxa"/>
          </w:tcPr>
          <w:p>
            <w:r>
              <w:rPr>
                <w:sz w:val="17"/>
              </w:rPr>
              <w:t xml:space="preserve">Уточняется в БИ</w:t>
            </w:r>
          </w:p>
        </w:tc>
        <w:tc>
          <w:tcPr>
            <w:tcW w:w="1649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23"/>
        <w:gridCol w:w="4076"/>
        <w:gridCol w:w="2754"/>
      </w:tblGrid>
      <w:tr>
        <w:trPr>
          <w:cantSplit/>
          <w:tblHeader/>
        </w:trPr>
        <w:tc>
          <w:tcPr>
            <w:tcW w:w="2523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076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330 дней/год, 7920 ч, круглосуточно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Назначение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Поверхность фильтрации / показатели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32 м² (расчётно 29,4 м²), 300 кг/(м²·ч), кек 10 % влаги, 9,8 т/ч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п.50-54, 46-49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Количество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2 × 32 м² барабанные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23 п.52-54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Питание (пульпа концентрата)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73 492 т/год сух. (до 10,621 т/ч), влажность 10 %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табл. 22 стр.1; табл. 23 п.62, 193; ТЗ п.3.1.1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Требование к параметрам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По ТЗ на БИ п. 3.4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Материальное исполнение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нет в ИД/перечне — запросить в ТКП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ИД ч.1 табл. 24; ТЗ п.3.4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Вакуумная система (насосы, ресивер, гидрозатвор)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тип и число вакуум-насосов, объём ресивера — по ТКП поставщика фильтров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Фильтроткань и регенерация полотна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Система отдувки кека и промывки</w:t>
            </w:r>
          </w:p>
        </w:tc>
        <w:tc>
          <w:tcPr>
            <w:tcW w:w="4076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мониторинг состояния динамического оборудования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Для приводов и вакуум-насосов свыше 30 кВт — раздел «мониторинг состояния»: вибрация, температура подшипников, ток как значения (не биты); карта Modbus-регистров — в документации поставщика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пп. 7, 14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пробоотборные линии фильтрата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Байпасные пробоотборные линии Ду25 с отсечной арматурой и площадками обслуживания — под будущий поточный анализатор; пробоотборный штуцер на границе узла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2 п. 10</w:t>
            </w:r>
          </w:p>
        </w:tc>
      </w:tr>
      <w:tr>
        <w:trPr>
          <w:cantSplit/>
        </w:trPr>
        <w:tc>
          <w:tcPr>
            <w:tcW w:w="2523" w:type="dxa"/>
          </w:tcPr>
          <w:p>
            <w:r>
              <w:rPr>
                <w:sz w:val="19"/>
              </w:rPr>
              <w:t xml:space="preserve">Закладная (цифровизация): приборный учёт узла</w:t>
            </w:r>
          </w:p>
        </w:tc>
        <w:tc>
          <w:tcPr>
            <w:tcW w:w="4076" w:type="dxa"/>
          </w:tcPr>
          <w:p>
            <w:r>
              <w:rPr>
                <w:sz w:val="19"/>
              </w:rPr>
              <w:t xml:space="preserve">Расходомер фильтрата и вакуумметры — в перечень сигналов АСУ; теги узла — в секундный архив хранилища технологических данных</w:t>
            </w:r>
          </w:p>
        </w:tc>
        <w:tc>
          <w:tcPr>
            <w:tcW w:w="2754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1.3 п. 21; разд. 2 пп. 6, 7</w:t>
            </w:r>
          </w:p>
        </w:tc>
      </w:tr>
    </w:tbl>
    <w:p>
      <w:r>
        <w:rPr>
          <w:color w:val="8A6200"/>
          <w:sz w:val="17"/>
        </w:rPr>
        <w:t xml:space="preserve">Заливкой отмечены поля «уточняется по ТКП» — их заполняет поставщик; остальные значения — исходные требования Заказчика (исходные данные, техническое задание) и решения Базового инжиниринга.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(поля «уточняется по ТКП»)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Позиции, значения которых определяются по технико-коммерческим предложениям изготовителей либо на последующих этапах стадии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ОЛ-ОВЭ75-01 (Печь кипящего слоя (КС)) — Комплектность поставки (сопла, футеровка, КИП, ЗИП); Масса и членение поставочных блоков; Срок изготовления и поставки: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ОЛ-ОВЭ75-02 (Котёл-утилизатор) — Поверхности нагрева и компоновка (радиация/конвекция/экономайзер); Способ очистки поверхностей нагрева; Масса и членение поставочных блоков: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ОЛ-ОВЭ75-03 (Циклоны (одиночный циклон газоочистки)) — Гидравлическое сопротивление; Опоры, теплоизоляция, обогрев бункера: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ОЛ-ОВЭ75-04 (Электрофильтр сухой) — Число и длина полей, тип агрегатов питания; Система встряхивания и обогрев бункеров: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ОЛ-ОВЭ75-05 (Дымосос) — Полное давление (напор); Регулирование производительности; Класс балансировки ротора: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ОЛ-ОВЭ75-06 (Воздуходувка дутьевая) — Материальное исполнение; Тип машины (центробежная/винтовая), рабочие/резервные; Схема регулирования производительности; Шумовые характеристики и виброизоляция: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ОЛ-ОВЭ75-07 (Вакуум-фильтр барабанный) — Материальное исполнение; Вакуумная система (насосы, ресивер, гидрозатвор); Фильтроткань и регенерация полотна; Система отдувки кека и промывки: по ТКП изготовителя.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 оценке Исполнителя комплект опросных листов Лота №1 составляет 35–45 позиций технологического, электротехнического и КИП-оборудования (по одному листу на позицию основного перечня). В настоящую ревизию включены листы на основное технологическое оборудование; листы на остальные позиции перечня, электротехническое и КИП-оборудование — определяется на стадии БИ (следующая ревизия альбома).</w:t>
      </w:r>
    </w:p>
    <w:p>
      <w:r>
        <w:rPr>
          <w:color w:val="666666"/>
          <w:sz w:val="17"/>
        </w:rPr>
        <w:t xml:space="preserve">Источник: состав по ИД ч.1 табл. 24Б; оценка Исполнителя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Заказчика: листы настоящей ревизии выполнены по форме Исполнителя; переоформление по формам АО «Кольская ГМК» — после их получения от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оборудования длительного цикла (печь КС 12–18 мес, котёл-утилизатор 12–16 мес, электрофильтры 10–14 мес — оценка Исполнителя) подтверждаются по ТКП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изготовителей и поставщиков для рассылки листов, сроки ответа и порядок сравнения ТКП — по реестру запросов бюджетных ТКП (документ ОВЭ75-БИ-ОБ-ТКП).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листов — после согласования с Заказчиком перечня основного оборудования лота и получения замечаний к настоящей ревизии.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