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сведения по электроснабжению и электрооборудованию Лот №2 «Участок получения медного и медно-никелевого купороса» в объёме, принятом на стадии Базового инжиниринга: характеристику источников и порядок получения технических условий, обоснование принятой схемы электроснабжения, расчёт электрических нагрузок с категориями надёжности, решения по компенсации реактивной мощности, предварительную оценку трансформаторной мощности, принципиальные решения по кабельным линиям, объём расчёта токов короткого замыкания, решения по заземлению, молниезащите и освещению, классификацию взрывоопасных зон, предварительный перечень основного электрооборудования и состав опросных листов.</w:t>
      </w:r>
    </w:p>
    <w:p>
      <w:r>
        <w:rPr>
          <w:sz w:val="20"/>
        </w:rPr>
        <w:t xml:space="preserve">Документ выполняет требование состава Базового инжиниринга «Сведения по электроснабжению и электрооборудованию по Приложению №3 (объём сведений уточняется с учётом согласованных границ проектирования)» (ТЗ на БИ ред. 4.1) и раскрывает пункты Приложения №3 к ТЗ, отнесённые к стадии Базового инжиниринга.</w:t>
      </w:r>
    </w:p>
    <w:p>
      <w:r>
        <w:rPr>
          <w:sz w:val="20"/>
        </w:rPr>
        <w:t xml:space="preserve">Режим работы объекта: 345 сут/год, 8 322 ч, круглосуточно (ТЗ на БИ ред. 4.1).</w:t>
      </w:r>
    </w:p>
    <w:p>
      <w:r>
        <w:rPr>
          <w:color w:val="666666"/>
          <w:sz w:val="17"/>
        </w:rPr>
        <w:t xml:space="preserve">Источник: ИД ч.2 (рис. 4.4 и 4.5 — спецификации ниток выпарки, табл. 8.5 — расходы энергоресурсов); ТЗ на БИ ред. 4.1 (п. 4.3.7 — граница поставки электроэнергии); Приложение №3 к ТЗ; Приложение №5 к ТЗ; расчётная модель КВАНТ (сводка электрических нагрузок комплекса)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ОВЭ75-БИ-Л2-КР — Компоновочные решения (планы, разрезы)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ОВЭ75-БИ-Л2-АСУ — Схема комплекса технических средств АСУ</w:t>
      </w:r>
    </w:p>
    <w:p>
      <w:pPr>
        <w:pStyle w:val="Heading2"/>
      </w:pPr>
      <w:r>
        <w:rPr>
          <w:b/>
          <w:sz w:val="24"/>
        </w:rPr>
        <w:t xml:space="preserve">1.2 Объём Приложения №3, принятый на стадии Базового инжиниринга</w:t>
      </w:r>
    </w:p>
    <w:p>
      <w:r>
        <w:rPr>
          <w:sz w:val="20"/>
        </w:rPr>
        <w:t xml:space="preserve">Приложение №3 к ТЗ содержит общие требования Заказчика к проектированию в части электроснабжения и электрооборудования и само оговаривает, что применение его требований и объём поставки в составе Базового инжиниринга уточняются по каждому лоту с учётом согласованных границ проектирования. Ниже приведён объём, принятый в настоящей ревизии; он подлежит согласованию с Заказчиком до начала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620"/>
        <w:gridCol w:w="3800"/>
        <w:gridCol w:w="2600"/>
        <w:gridCol w:w="2334"/>
      </w:tblGrid>
      <w:tr>
        <w:trPr>
          <w:tblHeader/>
          <w:cantSplit/>
        </w:trPr>
        <w:tc>
          <w:tcPr>
            <w:tcW w:w="620" w:type="dxa"/>
            <w:shd w:val="clear" w:fill="EFEFEF"/>
          </w:tcPr>
          <w:p>
            <w:r>
              <w:rPr>
                <w:b/>
                <w:sz w:val="15"/>
              </w:rPr>
              <w:t xml:space="preserve">Пункт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Приложения №3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Объём стадии Базового инжиниринга</w:t>
            </w:r>
          </w:p>
        </w:tc>
        <w:tc>
          <w:tcPr>
            <w:tcW w:w="2334" w:type="dxa"/>
            <w:shd w:val="clear" w:fill="EFEFEF"/>
          </w:tcPr>
          <w:p>
            <w:r>
              <w:rPr>
                <w:b/>
                <w:sz w:val="15"/>
              </w:rPr>
              <w:t xml:space="preserve">Относится к последующим стадиям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краткую характеристику источников электроснабжения. Точки подключения к электрическим сетям определяются в соответствии с Техническими условиями на подключение, запрашиваемыми в процессе проектирования на основании расчета электрических нагрузок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2: характеристика источников, уровни напряжения, границы поставки; расчёт нагрузок для запроса технических условий (раздел 4)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Точки подключения и разрешённая мощность — по техническим условиям сетевой организации; запрос выполняет Заказчик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обоснование принятой схемы электроснабжения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3: принятая схема электроснабжения и её обоснование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Уточнение схемы после получения технических условий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количестве электроприемников, их установленной и расчетной мощности: сводная таблица всего технологического оборудования, являющегося потребителями электроэнергии, разбивка нагрузок по категориям надежности электроснабжения (I, II, III категории по ПУЭ), указание пусковых токов и коэффициентов одновременности, итоговая суммарная потребляемая мощность объекта (для запроса технических условий у сетевой организации)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4: перечень электроприёмников, установленная и расчётная мощность, категории надёжности, итог для запроса технических условий; пусковые характеристики приводов мощностью от 100 кВт — по каталожным данным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Пусковые токи и коэффициенты одновременности всех электроприёмников — по данным изготовителей приводов на детальном этапе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решения по воздушным и кабельным линиям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принципиальные решения по кабельным линиям, требования к исполнению и прокладке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Трассировка, кабельные журналы,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проектных решений по компенсации реактивной мощности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5: обоснование централизованной компенсации на подстанции цеха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Мощность компенсирующих устройств цеха — вне границ поставки лота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сведения о мощности сетевых и трансформаторных объектов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6: расчётная нагрузка участка как исходные данные для питающей подстанции цеха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трансформаторов питающей подстанции — вне границ поставки лота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E-08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мероприятия по заземлению (занулению) и молниезащите (в том числе выбор типа заземлителя: глубинные электроды, сетка, химические электроды)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мероприятия по заземлению и молниезащите, тип системы заземления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Выбор типа заземлителя — по удельному сопротивлению грунтов на основании инженерных изысканий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E-09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краткое описание системы рабочего и аварийного освещения, выбор типов светильников для разных зон (промышленные, взрывозащищенные, антикоррозионные), определение зон аварийного и эвакуационного освещения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10: система рабочего и аварийного освещения, требования к исполнению по зонам, зоны аварийного и эвакуационного освещения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Светотехнический расчёт и выбор типов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E-10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принципиальные схемы распределения электроэнергии на всех уровнях напряжения, в том числе схемы главных распределительных щитов (ГРЩ) и трансформаторных подстанций (ТП)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Разделы 3 и 14: принципиальные схемы распределения электроэнергии на всех уровнях напряжения, схемы главных распределительных устройств и подстанций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Полные схемы всех щитов 0,4 кВ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E-11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предварительный выбор сечений основных питающих кабелей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7: расчётные токи основных питающих линий и порядок предварительного выбора сечений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Окончательные сечения — после расчёта токов короткого замыкания по техническим условиям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E-12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Планы расположения электрооборудования и кабельных трасс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14: размещение основного электрооборудования и главные кабельные коридоры в составе компоновочных решений лота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Детальная трассировка кабелей и планы прокладки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E-13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Схемы заземления и молниезащиты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9: принципиальные решения по заземлению и молниезащите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Рабочие схемы сеток заземления и молниеприёмников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E-14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Расчет токов короткого замыкания для предварительного выбора оборудования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8: расчёт токов короткого замыкания для предварительного выбора оборудования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Расчёт уставок релейной защиты и карты селективности — детальный этап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E-15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Чертежи с нанесением взрывоопасных зон в соответствии с классами (по ГОСТ IEC 60079-10-1 / ПУЭ)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11: обоснование отсутствия взрывоопасных зон (среды участка негорючие)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Категории помещений по пожарной опасности — расчёт в составе проектной документации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E-16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Спецификация основного оборудования и материалов с указанием технических характеристик для оборудования длительного цикла изготовления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12: предварительный перечень основного электрооборудования, включая оборудование длительного цикла изготовления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Спецификации кабельной продукции, кабельных конструкций и светильников — рабочая документация</w:t>
            </w:r>
          </w:p>
        </w:tc>
      </w:tr>
      <w:tr>
        <w:trPr>
          <w:cantSplit/>
        </w:trPr>
        <w:tc>
          <w:tcPr>
            <w:tcW w:w="620" w:type="dxa"/>
          </w:tcPr>
          <w:p>
            <w:r>
              <w:rPr>
                <w:sz w:val="15"/>
              </w:rPr>
              <w:t xml:space="preserve">E-17</w:t>
            </w:r>
          </w:p>
        </w:tc>
        <w:tc>
          <w:tcPr>
            <w:tcW w:w="3800" w:type="dxa"/>
          </w:tcPr>
          <w:p>
            <w:r>
              <w:rPr>
                <w:sz w:val="15"/>
              </w:rPr>
              <w:t xml:space="preserve">Комплект опросных листов на основное электротехническое оборудование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Раздел 13: перечень и состав опросных листов на основное электротехническое оборудование</w:t>
            </w:r>
          </w:p>
        </w:tc>
        <w:tc>
          <w:tcPr>
            <w:tcW w:w="2334" w:type="dxa"/>
          </w:tcPr>
          <w:p>
            <w:r>
              <w:rPr>
                <w:sz w:val="15"/>
              </w:rPr>
              <w:t xml:space="preserve">Заполнение опросных листов — после согласования перечня оборудования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№3 к ТЗ (общие требования в части электроснабжения и электрооборудования); ТЗ на БИ ред. 4.1</w:t>
      </w:r>
    </w:p>
    <w:p>
      <w:r>
        <w:rPr>
          <w:sz w:val="20"/>
        </w:rPr>
        <w:t xml:space="preserve">Стоимостная часть электротехнического раздела — сбор технико-коммерческих предложений на основное и длинноцикловое электрооборудование и оценка стоимости комплектной поставки — выполняется в составе стоимостного блока лота.</w:t>
      </w:r>
    </w:p>
    <w:p>
      <w:pPr>
        <w:pStyle w:val="Heading2"/>
      </w:pPr>
      <w:r>
        <w:rPr>
          <w:b/>
          <w:sz w:val="24"/>
        </w:rPr>
        <w:t xml:space="preserve">1.3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ПУЭ (изд. 7)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Категории надёжности (п. 1.2.17–1.2.21), электроустановки в химически активной среде, заземление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Приложение №3 к ТЗ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Состав сведений по электроснабжению; объём на БИ — по протоколу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СП 52.13330.2016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Нормируемая освещённость; зоны аварийного и эвакуационного освещения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6"/>
              </w:rPr>
              <w:t xml:space="preserve">ГОСТ 14254-2015</w:t>
            </w:r>
          </w:p>
        </w:tc>
        <w:tc>
          <w:tcPr>
            <w:tcW w:w="6354" w:type="dxa"/>
          </w:tcPr>
          <w:p>
            <w:r>
              <w:rPr>
                <w:sz w:val="16"/>
              </w:rPr>
              <w:t xml:space="preserve">Степени защиты оболочек (IP) электрооборудования участка</w:t>
            </w:r>
          </w:p>
        </w:tc>
      </w:tr>
    </w:tbl>
    <w:p>
      <w:r>
        <w:rPr>
          <w:sz w:val="20"/>
        </w:rPr>
        <w:t xml:space="preserve">Перечень приведён в объёме, необходимом для решений настоящей ревизии, и дополняется на последующих стадиях проектирования.</w:t>
      </w:r>
    </w:p>
    <w:p>
      <w:pPr>
        <w:pStyle w:val="Heading1"/>
      </w:pPr>
      <w:r>
        <w:rPr>
          <w:b/>
          <w:sz w:val="28"/>
        </w:rPr>
        <w:t xml:space="preserve">2. Источники электроснабжения и точки подключения</w:t>
      </w:r>
    </w:p>
    <w:p>
      <w:r>
        <w:rPr>
          <w:sz w:val="20"/>
        </w:rPr>
        <w:t xml:space="preserve">Электроснабжение участка предусматривается от распределительных устройств гидрометаллургического цеха, в существующем здании которого размещается участок (приложение №7 к ТЗ — обмерные чертежи здания). Собственных потребителей напряжением выше 1 кВ участок не имеет: наибольший привод — циркуляционный насос нитки медного купороса мощностью 22 кВт (ИД ч.2, рис. 4.4).</w:t>
      </w:r>
    </w:p>
    <w:p>
      <w:r>
        <w:rPr>
          <w:sz w:val="20"/>
        </w:rPr>
        <w:t xml:space="preserve">Граница поставки электроэнергии по ТЗ на БИ ред. 4.1 (п. 4.3.7) — предварительно шкафы управления 0,4 кВ, уточняется при разработке БИ и ОТР. Питающая трансформаторная подстанция и распределительное устройство цеха в границы Лота №2 не входят; настоящий документ выдаёт для них исходные данные — расчётную нагрузку участка и категории надёжности электроснабжения.</w:t>
      </w:r>
    </w:p>
    <w:p>
      <w:r>
        <w:rPr>
          <w:sz w:val="20"/>
        </w:rPr>
        <w:t xml:space="preserve">Точка подключения 0,4 кВ и располагаемый резерв мощности питающей подстанции подтверждаются техническими условиями и обследованием существующих сетей цеха.</w:t>
      </w:r>
    </w:p>
    <w:p>
      <w:pPr>
        <w:pStyle w:val="Heading2"/>
      </w:pPr>
      <w:r>
        <w:rPr>
          <w:b/>
          <w:sz w:val="24"/>
        </w:rPr>
        <w:t xml:space="preserve">2.1 Порядок получения технических условий</w:t>
      </w:r>
    </w:p>
    <w:p>
      <w:r>
        <w:rPr>
          <w:sz w:val="20"/>
        </w:rPr>
        <w:t xml:space="preserve">Точки подключения к электрическим сетям определяются техническими условиями на технологическое присоединение, запрашиваемыми на основании расчёта электрических нагрузок. Распределение ответственности и последовательность действий приведены ниже и подлежат закреплению договором: сроки сетевой организации являются внешним условием и не относятся к графику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0"/>
        <w:gridCol w:w="1900"/>
        <w:gridCol w:w="3454"/>
      </w:tblGrid>
      <w:tr>
        <w:trPr>
          <w:tblHeader/>
          <w:cantSplit/>
        </w:trPr>
        <w:tc>
          <w:tcPr>
            <w:tcW w:w="4000" w:type="dxa"/>
            <w:shd w:val="clear" w:fill="EFEFEF"/>
          </w:tcPr>
          <w:p>
            <w:r>
              <w:rPr>
                <w:b/>
                <w:sz w:val="15"/>
              </w:rPr>
              <w:t xml:space="preserve">Мероприятие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Исполнитель</w:t>
            </w:r>
          </w:p>
        </w:tc>
        <w:tc>
          <w:tcPr>
            <w:tcW w:w="3454" w:type="dxa"/>
            <w:shd w:val="clear" w:fill="EFEFEF"/>
          </w:tcPr>
          <w:p>
            <w:r>
              <w:rPr>
                <w:b/>
                <w:sz w:val="15"/>
              </w:rPr>
              <w:t xml:space="preserve">Срок и условие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Расчёт электрических нагрузок лота для запроса технических условий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Выполнен в объёме настоящей ревизии; уточняется после утверждения перечня оборудования и получения предложений изготовителей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Сводная заявка на технологическое присоединение по комплексу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Формируется по сводной нагрузке комплекса — приведена в разделе 4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Запрос и получение технических условий у сетевой организации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Заказчик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Сроки определяются сетевой организацией и не входят в график выпуска БИ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Уточнение точек подключения, разрешённой мощности, требований к коэффициенту мощности и качеству электроэнергии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Исполнитель БИ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После получения технических условий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rPr>
                <w:sz w:val="16"/>
              </w:rPr>
              <w:t xml:space="preserve">Проектирование питающих сетей до границы поставки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Генеральный проектировщик</w:t>
            </w:r>
          </w:p>
        </w:tc>
        <w:tc>
          <w:tcPr>
            <w:tcW w:w="3454" w:type="dxa"/>
          </w:tcPr>
          <w:p>
            <w:r>
              <w:rPr>
                <w:sz w:val="16"/>
              </w:rPr>
              <w:t xml:space="preserve">На стадии ОТР по материалам БИ</w:t>
            </w:r>
          </w:p>
        </w:tc>
      </w:tr>
    </w:tbl>
    <w:p>
      <w:r>
        <w:rPr>
          <w:sz w:val="20"/>
        </w:rPr>
        <w:t xml:space="preserve">До получения технических условий принимаются следующие допущения: уровень напряжения питающей сети и мощность короткого замыкания в точке присоединения исходными данными не заданы; расчёты токов короткого замыкания и выбор аппаратов выполняются после их получения. Все численные значения настоящего раздела предварительные.</w:t>
      </w:r>
    </w:p>
    <w:p>
      <w:pPr>
        <w:pStyle w:val="Heading1"/>
      </w:pPr>
      <w:r>
        <w:rPr>
          <w:b/>
          <w:sz w:val="28"/>
        </w:rPr>
        <w:t xml:space="preserve">3. Обоснование принятой схемы электроснабжения</w:t>
      </w:r>
    </w:p>
    <w:p>
      <w:r>
        <w:rPr>
          <w:sz w:val="20"/>
        </w:rPr>
        <w:t xml:space="preserve">Принята радиальная схема распределения на напряжении 0,4 кВ: питающая линия от распределительного устройства цеха на щит участка, от него — фидеры шкафов управления технологическими агрегатами по ниткам кристаллизации, узлу растворения купороса и узлу фасовки. Шкафы управления поставляются комплектно с технологическим оборудованием, граница поставки по ТЗ проходит по ним.</w:t>
      </w:r>
    </w:p>
    <w:p>
      <w:r>
        <w:rPr>
          <w:sz w:val="20"/>
        </w:rPr>
        <w:t xml:space="preserve">Собственной трансформаторной подстанции и распределительного устройства выше 1 кВ участок не имеет: суммарная установленная мощность участка не превышает первых сотен киловатт, наибольший привод — 22 кВт с прямым пуском от сети 0,4 кВ. Устройства плавного пуска и преобразователи частоты применяются только там, где этого требует технология (регулирование подачи циркуляционных насосов и репульпаторов).</w:t>
      </w:r>
    </w:p>
    <w:p>
      <w:r>
        <w:rPr>
          <w:sz w:val="20"/>
        </w:rPr>
        <w:t xml:space="preserve">Электроприёмники систем автоматизации выделяются в отдельную группу питания I категории с источниками бесперебойного питания — по Приложению №5 к ТЗ. Силовые шкафы (в том числе преобразователи частоты) и шкафы систем автоматизации размещаются раздельно.</w:t>
      </w:r>
    </w:p>
    <w:p>
      <w:pPr>
        <w:pStyle w:val="Heading2"/>
      </w:pPr>
      <w:r>
        <w:rPr>
          <w:b/>
          <w:sz w:val="24"/>
        </w:rPr>
        <w:t xml:space="preserve">3.1 Основные решения и их обоснование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0"/>
        <w:gridCol w:w="5554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Решение</w:t>
            </w:r>
          </w:p>
        </w:tc>
        <w:tc>
          <w:tcPr>
            <w:tcW w:w="55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Питание на напряжении 0,4 кВ, без собственной подстанции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Установленная мощность участка не превышает первых сотен киловатт; приводов свыше 22 кВт нет (ИД ч.2, рис. 4.4 и 4.5)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Радиальная схема с щитом участка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Разделение ниток кристаллизации, узла растворения и узла фасовки по фидерам; локализация отказов и удобство вывода нитки в ремонт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Прямой пуск приводов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Наибольший привод 22 кВт; посадка напряжения при прямом пуске в сети цеха допустима, проверяется расчётом на стадии БИ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Отдельная группа питания систем автоматизации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I категория, серверное оборудование — I категория особой группы (Приложение №5 к ТЗ)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Раздельное размещение силовых шкафов и шкафов автоматизации</w:t>
            </w:r>
          </w:p>
        </w:tc>
        <w:tc>
          <w:tcPr>
            <w:tcW w:w="5554" w:type="dxa"/>
          </w:tcPr>
          <w:p>
            <w:r>
              <w:rPr>
                <w:sz w:val="16"/>
              </w:rPr>
              <w:t xml:space="preserve">Требование Приложения №5 к ТЗ; снижение электромагнитных помех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Электрические нагрузки</w:t>
      </w:r>
    </w:p>
    <w:p>
      <w:pPr>
        <w:pStyle w:val="Heading2"/>
      </w:pPr>
      <w:r>
        <w:rPr>
          <w:b/>
          <w:sz w:val="24"/>
        </w:rPr>
        <w:t xml:space="preserve">4.1 Основание расчёта и стадия достоверности</w:t>
      </w:r>
    </w:p>
    <w:p>
      <w:r>
        <w:rPr>
          <w:sz w:val="20"/>
        </w:rPr>
        <w:t xml:space="preserve">Расчёт электрических нагрузок выполняется для запроса технических условий и для предварительного выбора трансформаторной мощности, аппаратов и проводников. Основание — нормированные исходными данными Заказчика мощности электроприёмников, перечень оборудования лота и расчётная модель проекта в части не нормированных исходными данными потребителей.</w:t>
      </w:r>
    </w:p>
    <w:p>
      <w:r>
        <w:rPr>
          <w:sz w:val="20"/>
        </w:rPr>
        <w:t xml:space="preserve">Значения разделены по достоверности: нормированные исходными данными Заказчика принимаются без изменения; полученные расчётом Исполнителя приводятся с указанием расчётного основания; оценочные значения приводятся диапазоном и помечены как ориентировочные. Мощности, не заданные ни исходными данными, ни расчётом, отнесены к уточнению по техническим предложениям изготовителей.</w:t>
      </w:r>
    </w:p>
    <w:p>
      <w:r>
        <w:rPr>
          <w:color w:val="666666"/>
          <w:sz w:val="17"/>
        </w:rPr>
        <w:t xml:space="preserve">Источник: ИД ч.2 (рис. 4.4 и 4.5 — спецификации ниток выпарки, табл. 8.5 — расходы энергоресурсов); ТЗ на БИ ред. 4.1 (п. 4.3.7 — граница поставки электроэнергии); Приложение №3 к ТЗ; Приложение №5 к ТЗ; расчётная модель КВАНТ (сводка электрических нагрузок комплекса)</w:t>
      </w:r>
    </w:p>
    <w:p>
      <w:pPr>
        <w:pStyle w:val="Heading2"/>
      </w:pPr>
      <w:r>
        <w:rPr>
          <w:b/>
          <w:sz w:val="24"/>
        </w:rPr>
        <w:t xml:space="preserve">4.2 Электроприёмники, определённые исходными данными</w:t>
      </w:r>
    </w:p>
    <w:p>
      <w:r>
        <w:rPr>
          <w:sz w:val="20"/>
        </w:rPr>
        <w:t xml:space="preserve">Ниже приведены мощности электроприёмников лота, определённые исходными данными Заказчика и расчётом; они приняты в качестве основы для расчёта нагрузок.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3000"/>
        <w:gridCol w:w="21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 (группа)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Мощность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Нитка кристаллизации медного купороса (суммарно по спецификации)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69,5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ИД ч.2, рис. 4.4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Нитка кристаллизации смешанного медно-никелевого купороса (суммарно по спецификации)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44,5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ИД ч.2, рис. 4.5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Итого по спецификациям исходных данных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≈114 кВт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Суммирование Исполнителем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Наибольший привод — циркуляционный насос нитки медного купороса</w:t>
            </w:r>
          </w:p>
        </w:tc>
        <w:tc>
          <w:tcPr>
            <w:tcW w:w="3000" w:type="dxa"/>
          </w:tcPr>
          <w:p>
            <w:r>
              <w:rPr>
                <w:sz w:val="16"/>
              </w:rPr>
              <w:t xml:space="preserve">22 кВт, 0,4 кВ, прямой пуск</w:t>
            </w:r>
          </w:p>
        </w:tc>
        <w:tc>
          <w:tcPr>
            <w:tcW w:w="2154" w:type="dxa"/>
          </w:tcPr>
          <w:p>
            <w:r>
              <w:rPr>
                <w:sz w:val="16"/>
              </w:rPr>
              <w:t xml:space="preserve">ИД ч.2, рис. 4.4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Электроприёмники, не определённые исходными данными</w:t>
      </w:r>
    </w:p>
    <w:p>
      <w:r>
        <w:rPr>
          <w:sz w:val="20"/>
        </w:rPr>
        <w:t xml:space="preserve">Перечисленные ниже потребители исходными данными не нормированы либо находятся вне границ поставки лота, но влияют на расчётную нагрузку и на заявку на технологическое присоединение. Их мощности получены расчётом Исполнителя либо оценены по аналогам и подлежат уточнению.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2800"/>
        <w:gridCol w:w="31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 (группа)</w:t>
            </w:r>
          </w:p>
        </w:tc>
        <w:tc>
          <w:tcPr>
            <w:tcW w:w="2800" w:type="dxa"/>
            <w:shd w:val="clear" w:fill="EFEFEF"/>
          </w:tcPr>
          <w:p>
            <w:r>
              <w:rPr>
                <w:b/>
                <w:sz w:val="15"/>
              </w:rPr>
              <w:t xml:space="preserve">Мощность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порядок уточнения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Вакуум-насосы типов ВВН1-6 и ВВН1-3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В спецификациях исходных данных не учтены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Мешалки обогреваемых баков, транспортёр, узел фасовки, обогрев приборов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В спецификациях исходных данных не учтены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Полная установленная мощность участка с учётом неучтённых потребителей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160–220 кВт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Оценка Исполнителя при комплектации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Средняя нагрузка участка</w:t>
            </w:r>
          </w:p>
        </w:tc>
        <w:tc>
          <w:tcPr>
            <w:tcW w:w="2800" w:type="dxa"/>
          </w:tcPr>
          <w:p>
            <w:r>
              <w:rPr>
                <w:sz w:val="16"/>
              </w:rPr>
              <w:t xml:space="preserve">≈0,19 МВт</w:t>
            </w:r>
          </w:p>
        </w:tc>
        <w:tc>
          <w:tcPr>
            <w:tcW w:w="3154" w:type="dxa"/>
          </w:tcPr>
          <w:p>
            <w:r>
              <w:rPr>
                <w:sz w:val="16"/>
              </w:rPr>
              <w:t xml:space="preserve">Расчёт КВАНТ, сводный блок нагрузок комплекса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4.4 Сводная таблица электроприёмников по перечню оборудования</w:t>
      </w:r>
    </w:p>
    <w:p>
      <w:r>
        <w:rPr>
          <w:sz w:val="20"/>
        </w:rPr>
        <w:t xml:space="preserve">Таблица построена по перечню основного и вспомогательного оборудования лота. Для позиций, мощность которых исходными данными не задана, значение определяется по техническим предложениям изготовителей после согласования перечня оборудования. Категории надёжности и режимы работы приведены предварительно по назначению оборудования; окончательное категорирование выполняется протоколом с Заказчиком.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50"/>
        <w:gridCol w:w="1350"/>
        <w:gridCol w:w="1850"/>
        <w:gridCol w:w="1350"/>
        <w:gridCol w:w="950"/>
        <w:gridCol w:w="1604"/>
      </w:tblGrid>
      <w:tr>
        <w:trPr>
          <w:tblHeader/>
          <w:cantSplit/>
        </w:trPr>
        <w:tc>
          <w:tcPr>
            <w:tcW w:w="2250" w:type="dxa"/>
            <w:shd w:val="clear" w:fill="EFEFEF"/>
          </w:tcPr>
          <w:p>
            <w:r>
              <w:rPr>
                <w:b/>
                <w:sz w:val="15"/>
              </w:rPr>
              <w:t xml:space="preserve">Электроприёмник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0" w:type="dxa"/>
            <w:shd w:val="clear" w:fill="EFEFEF"/>
          </w:tcPr>
          <w:p>
            <w:r>
              <w:rPr>
                <w:b/>
                <w:sz w:val="15"/>
              </w:rPr>
              <w:t xml:space="preserve">Установленная мощность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Режим работы</w:t>
            </w:r>
          </w:p>
        </w:tc>
        <w:tc>
          <w:tcPr>
            <w:tcW w:w="9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16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Кристаллизация медного купороса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Испаритель I ступени (выпарной аппарат)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 (1 нитка)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насосы и мешалки контура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Испаритель II ступени (выпарной аппарат)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насосы и мешалки контура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Паровой эжектор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имеет: вакуум создаётся паром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Репульпатор (реактор с мешалкой)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Бак маточника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и обогрев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В спецификациях исходных данных мощность не выделена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Растворение купороса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Репульпатор растворения купороса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Кристаллизация смешанного купороса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Испаритель I ступени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насосы и мешалки контура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Испаритель II ступени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имеет; насосы и мешалки контура учтены отдельно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Паровой эжектор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имеет: вакуум создаётся паром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Бак маточника 2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и обогрев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Репульпатор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Привод мешалки — определяется по техническим предложениям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В спецификациях исходных данных мощность не выделена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Кристаллизация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Пароэжекторный блок (ПЭБ)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по 1 на нитку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Собственных электроприёмников не имеет: вакуум создаётся паром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непрерывный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ИД ч.2 рис. 4.4/4.5</w:t>
            </w:r>
          </w:p>
        </w:tc>
      </w:tr>
      <w:tr>
        <w:trPr>
          <w:cantSplit/>
        </w:trPr>
        <w:tc>
          <w:tcPr>
            <w:tcW w:w="9354" w:type="dxa"/>
            <w:gridSpan w:val="6"/>
            <w:shd w:val="clear" w:color="auto" w:fill="F3F3F3"/>
          </w:tcPr>
          <w:p>
            <w:r>
              <w:rPr>
                <w:b/>
                <w:sz w:val="15"/>
              </w:rPr>
              <w:t xml:space="preserve">Фасовка</w:t>
            </w:r>
          </w:p>
        </w:tc>
      </w:tr>
      <w:tr>
        <w:trPr>
          <w:cantSplit/>
        </w:trPr>
        <w:tc>
          <w:tcPr>
            <w:tcW w:w="2250" w:type="dxa"/>
          </w:tcPr>
          <w:p>
            <w:r>
              <w:rPr>
                <w:sz w:val="16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85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950" w:type="dxa"/>
          </w:tcPr>
          <w:p>
            <w:r>
              <w:rPr>
                <w:sz w:val="16"/>
              </w:rPr>
              <w:t xml:space="preserve">III</w:t>
            </w:r>
          </w:p>
        </w:tc>
        <w:tc>
          <w:tcPr>
            <w:tcW w:w="1604" w:type="dxa"/>
          </w:tcPr>
          <w:p>
            <w:r>
              <w:rPr>
                <w:sz w:val="16"/>
              </w:rPr>
              <w:t xml:space="preserve">Не задана исходными данными</w:t>
            </w:r>
          </w:p>
        </w:tc>
      </w:tr>
    </w:tbl>
    <w:p>
      <w:r>
        <w:rPr>
          <w:color w:val="666666"/>
          <w:sz w:val="17"/>
        </w:rPr>
        <w:t xml:space="preserve">Источник: Перечень основного и вспомогательного оборудования лота (ИД ч.1 табл. 24, ИД ч.2 табл. 4.1 и 4.2, ТЗ на БИ ред. 4.1); расчётная модель КВАНТ</w:t>
      </w:r>
    </w:p>
    <w:p>
      <w:r>
        <w:rPr>
          <w:sz w:val="20"/>
        </w:rPr>
        <w:t xml:space="preserve">Электроприёмники общего назначения — освещение, вентиляция и отопление помещений, электрообогрев приборов и трубопроводов, ремонтные потребители, подъёмно-транспортное оборудование — учитываются в расчёте нагрузок отдельными группами; их мощности определяются по компоновочным решениям и заданиям смежных разделов на стадии БИ.</w:t>
      </w:r>
    </w:p>
    <w:p>
      <w:pPr>
        <w:pStyle w:val="Heading2"/>
      </w:pPr>
      <w:r>
        <w:rPr>
          <w:b/>
          <w:sz w:val="24"/>
        </w:rPr>
        <w:t xml:space="preserve">4.5 Итоговые нагрузки лота и место в сводной нагрузке комплекса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400"/>
        <w:gridCol w:w="2600"/>
        <w:gridCol w:w="2354"/>
      </w:tblGrid>
      <w:tr>
        <w:trPr>
          <w:tblHeader/>
          <w:cantSplit/>
        </w:trPr>
        <w:tc>
          <w:tcPr>
            <w:tcW w:w="44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Установленная мощность по спецификациям исходных данных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≈114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ч.2, рис. 4.4 и 4.5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Полная установленная мощность с учётом не вошедших в спецификации потребителей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160–220 кВт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Оценка Исполнителя при комплектации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Средняя нагрузка участка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≈0,19 МВт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КВАНТ, сводный блок нагрузок комплекса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6"/>
              </w:rPr>
              <w:t xml:space="preserve">Доля участка в средней нагрузке комплекса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≈1 %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 КВАНТ: 0,19 МВт из 17,3 МВт</w:t>
            </w:r>
          </w:p>
        </w:tc>
      </w:tr>
    </w:tbl>
    <w:p>
      <w:r>
        <w:rPr>
          <w:sz w:val="20"/>
        </w:rPr>
        <w:t xml:space="preserve">Сводная нагрузка комплекса, формируемая для запроса технических условий: средняя нагрузка около 17,3 МВт, установленная около 21 МВт. Доминирующая составляющая — выпрямление электроэкстракции Лота №3 (около 15,7 МВт средних). Составляющие по лотам: цех обжига около 0,98 МВт, участок купороса около 0,19 МВт, отделение электроэкстракции 16,07 МВт, склад готовой продукции около 0,08 МВт.</w:t>
      </w:r>
    </w:p>
    <w:p>
      <w:r>
        <w:rPr>
          <w:color w:val="666666"/>
          <w:sz w:val="17"/>
        </w:rPr>
        <w:t xml:space="preserve">Источник: Расчётная модель КВАНТ, сводный блок электрических нагрузок комплекса; ИД ч.1 табл. 26; ИД ч.2 табл. 8.5</w:t>
      </w:r>
    </w:p>
    <w:p>
      <w:pPr>
        <w:pStyle w:val="Heading2"/>
      </w:pPr>
      <w:r>
        <w:rPr>
          <w:b/>
          <w:sz w:val="24"/>
        </w:rPr>
        <w:t xml:space="preserve">4.6 Категории надёжности электроснабжения</w:t>
      </w:r>
    </w:p>
    <w:p>
      <w:r>
        <w:rPr>
          <w:sz w:val="20"/>
        </w:rPr>
        <w:t xml:space="preserve">Разбивка нагрузок по категориям надёжности выполнена по ПУЭ (п. 1.2.17–1.2.21) исходя из последствий перерыва электроснабжения. Категорирование предварительное и утверждается протоколом с Заказчиком на стадии БИ.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600"/>
        <w:gridCol w:w="1700"/>
        <w:gridCol w:w="4054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электроприёмников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Системы автоматизации участка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I, серверное оборудование — I категория особой группы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Технологические электроприёмники ниток кристаллизации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 (предварительно)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ведёт к останову кристаллизации и срыву вакуума с потерей производительности, но не создаёт опасности для людей и окружающей среды: аппараты под вакуумом останавливаются безопасно, гидрозатворы удерживают столб жидкости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6"/>
              </w:rPr>
              <w:t xml:space="preserve">Узел фасовки, ремонтные потребители</w:t>
            </w:r>
          </w:p>
        </w:tc>
        <w:tc>
          <w:tcPr>
            <w:tcW w:w="1700" w:type="dxa"/>
          </w:tcPr>
          <w:p>
            <w:r>
              <w:rPr>
                <w:sz w:val="16"/>
              </w:rPr>
              <w:t xml:space="preserve">III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Перерыв питания допустим</w:t>
            </w:r>
          </w:p>
        </w:tc>
      </w:tr>
    </w:tbl>
    <w:p>
      <w:r>
        <w:rPr>
          <w:sz w:val="20"/>
        </w:rPr>
        <w:t xml:space="preserve">Электропитание систем автоматизации выполняется по требованиям Приложения №5 к ТЗ: напряжение 230 В, 50 Гц, стабилизированное; серверное оборудование и инженерные станции — по I категории особой группы с источниками бесперебойного питания двойного преобразования и автоматическим переключением на сеть через устройство автоматического ввода резерва; средний уровень — с преобразованием в 24 В постоянного тока и резервированием; полевые приборы — от индивидуальных источников питания, для сигналов аналогового и дискретного ввода-вывода предусматриваются отдельные блоки питания.</w:t>
      </w:r>
    </w:p>
    <w:p>
      <w:pPr>
        <w:pStyle w:val="Heading2"/>
      </w:pPr>
      <w:r>
        <w:rPr>
          <w:b/>
          <w:sz w:val="24"/>
        </w:rPr>
        <w:t xml:space="preserve">4.7 Пусковые токи и коэффициенты одновременности</w:t>
      </w:r>
    </w:p>
    <w:p>
      <w:r>
        <w:rPr>
          <w:sz w:val="20"/>
        </w:rPr>
        <w:t xml:space="preserve">Приводов единичной мощностью 100 кВт и выше в лоте нет: наибольший привод — циркуляционный насос нитки медного купороса мощностью 22 кВт с прямым пуском от сети 0,4 кВ. Каталожные пусковые характеристики крупных приводов не приводятся; пусковые токи и коэффициенты одновременности электроприёмников определяются на детальном этапе по данным изготовителей.</w:t>
      </w:r>
    </w:p>
    <w:p>
      <w:r>
        <w:rPr>
          <w:sz w:val="20"/>
        </w:rPr>
        <w:t xml:space="preserve">Коэффициенты спроса и одновременности для расчёта нагрузок принимаются по группам электроприёмников; принятые значения приведены в разделе 6 и помечены как ориентировочные. Уточнение выполняется по утверждённой сводной таблице электроприёмников и данным изготовителей.</w:t>
      </w:r>
    </w:p>
    <w:p>
      <w:pPr>
        <w:pStyle w:val="Heading1"/>
      </w:pPr>
      <w:r>
        <w:rPr>
          <w:b/>
          <w:sz w:val="28"/>
        </w:rPr>
        <w:t xml:space="preserve">5. Компенсация реактивной мощности</w:t>
      </w:r>
    </w:p>
    <w:p>
      <w:r>
        <w:rPr>
          <w:sz w:val="20"/>
        </w:rPr>
        <w:t xml:space="preserve">Отдельные установки компенсации реактивной мощности на участке предварительно не предусматриваются: двигательная нагрузка мелкая (наибольший привод 22 кВт), суммарная реактивная мощность участка невелика по отношению к нагрузке цеха. Компенсация выполняется централизованно на распределительном устройстве или трансформаторной подстанции цеха, вне границ поставки Лота №2.</w:t>
      </w:r>
    </w:p>
    <w:p>
      <w:r>
        <w:rPr>
          <w:sz w:val="20"/>
        </w:rPr>
        <w:t xml:space="preserve">Решение подтверждается расчётом нагрузок на стадии БИ: при подтверждении низкого коэффициента мощности участка предусматривается локальная конденсаторная установка на щите участка. Целевое значение коэффициента мощности устанавливается техническими условиями сетевой организации.</w:t>
      </w:r>
    </w:p>
    <w:p>
      <w:pPr>
        <w:pStyle w:val="Heading1"/>
      </w:pPr>
      <w:r>
        <w:rPr>
          <w:b/>
          <w:sz w:val="28"/>
        </w:rPr>
        <w:t xml:space="preserve">6. Мощности сетевых и трансформаторных объектов</w:t>
      </w:r>
    </w:p>
    <w:p>
      <w:r>
        <w:rPr>
          <w:sz w:val="20"/>
        </w:rPr>
        <w:t xml:space="preserve">Оценка выполнена по установленной мощности электроприёмников с применением коэффициентов спроса и коэффициента мощности. Коэффициенты приняты ориентировочно: сводная таблица электроприёмников с фактическими коэффициентами формируется после согласования перечня оборудования и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200"/>
        <w:gridCol w:w="2600"/>
        <w:gridCol w:w="2554"/>
      </w:tblGrid>
      <w:tr>
        <w:trPr>
          <w:tblHeader/>
          <w:cantSplit/>
        </w:trPr>
        <w:tc>
          <w:tcPr>
            <w:tcW w:w="42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Установленная мощность участка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160–220 кВт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Раздел 4 настоящего документа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спроса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0,6–0,7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сводной таблицей электроприёмников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Коэффициент мощности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0,80–0,85 (принят ориентировочно)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Уточняется по данным изготовителей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Расчётная полная мощность участка (вклад в нагрузку питающей подстанции)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ориентировочно 115–190 кВ·А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Расчёт по принятым коэффициентам</w:t>
            </w:r>
          </w:p>
        </w:tc>
      </w:tr>
      <w:tr>
        <w:trPr>
          <w:cantSplit/>
        </w:trPr>
        <w:tc>
          <w:tcPr>
            <w:tcW w:w="4200" w:type="dxa"/>
          </w:tcPr>
          <w:p>
            <w:r>
              <w:rPr>
                <w:sz w:val="16"/>
              </w:rPr>
              <w:t xml:space="preserve">Трансформаторная подстанция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В границы поставки Лота №2 не входит</w:t>
            </w:r>
          </w:p>
        </w:tc>
        <w:tc>
          <w:tcPr>
            <w:tcW w:w="2554" w:type="dxa"/>
          </w:tcPr>
          <w:p>
            <w:r>
              <w:rPr>
                <w:sz w:val="16"/>
              </w:rPr>
              <w:t xml:space="preserve">ТЗ на БИ ред. 4.1, п. 4.3.7</w:t>
            </w:r>
          </w:p>
        </w:tc>
      </w:tr>
    </w:tbl>
    <w:p>
      <w:r>
        <w:rPr>
          <w:sz w:val="20"/>
        </w:rPr>
        <w:t xml:space="preserve">Значения приведены как исходные данные для проверки располагаемого резерва мощности питающей подстанции гидрометаллургического цеха. Коэффициенты приняты ориентировочно и уточняются сводной таблицей электроприёмников на стадии БИ.</w:t>
      </w:r>
    </w:p>
    <w:p>
      <w:r>
        <w:rPr>
          <w:sz w:val="20"/>
        </w:rPr>
        <w:t xml:space="preserve">Требования к трансформаторным объектам: сухие трансформаторы или трансформаторы с негорючим заполнением при размещении в здании; исполнение по условиям среды помещения; контроль температуры обмоток с выводом сигналов в систему автоматизации; учёт электроэнергии на вводах в объёме требований Заказчика.</w:t>
      </w:r>
    </w:p>
    <w:p>
      <w:pPr>
        <w:pStyle w:val="Heading1"/>
      </w:pPr>
      <w:r>
        <w:rPr>
          <w:b/>
          <w:sz w:val="28"/>
        </w:rPr>
        <w:t xml:space="preserve">7. Принципиальные решения по линиям электропередачи и выбор сечений</w:t>
      </w:r>
    </w:p>
    <w:p>
      <w:r>
        <w:rPr>
          <w:sz w:val="20"/>
        </w:rPr>
        <w:t xml:space="preserve">Воздушные линии в границах поставки лота не предусматриваются: распределение электроэнергии выполняется кабельными линиями внутри здания и по кабельным сооружениям площадки. Наружные линии до границы поставки относятся к разделу генерального проектировщика.</w:t>
      </w:r>
    </w:p>
    <w:p>
      <w:pPr>
        <w:pStyle w:val="Heading2"/>
      </w:pPr>
      <w:r>
        <w:rPr>
          <w:b/>
          <w:sz w:val="24"/>
        </w:rPr>
        <w:t xml:space="preserve">7.1 Требования к кабельным линиям</w:t>
      </w:r>
    </w:p>
    <w:p>
      <w:r>
        <w:rPr>
          <w:sz w:val="20"/>
        </w:rPr>
        <w:t xml:space="preserve">— Кабели с медными жилами; изоляция и оболочка, не распространяющие горение, с пониженным дымогазовыделением; исполнение — стойкое к химически активной среде (аэрозоли серной кислоты и сульфатов).</w:t>
      </w:r>
    </w:p>
    <w:p>
      <w:r>
        <w:rPr>
          <w:sz w:val="20"/>
        </w:rPr>
        <w:t xml:space="preserve">— Кабельные короба, крышки, полки, стойки и крепления — из пултрузионных, стеклопластиковых и композитных материалов со сроком службы не менее 10 лет в условиях объекта (Приложение №5 к ТЗ).</w:t>
      </w:r>
    </w:p>
    <w:p>
      <w:r>
        <w:rPr>
          <w:sz w:val="20"/>
        </w:rPr>
        <w:t xml:space="preserve">— Разделение силовых и слаботочных трасс; кабели аналоговых, дискретных и кодовых сигналов — экранированные, с заземлением экрана и удалением от силовых электропроводок (Приложение №5 к ТЗ).</w:t>
      </w:r>
    </w:p>
    <w:p>
      <w:r>
        <w:rPr>
          <w:sz w:val="20"/>
        </w:rPr>
        <w:t xml:space="preserve">— Прокладка в приямках отметок минус 2,0…минус 2,5 м выполняется с учётом возможного залива: кабельные конструкции и вводы — влагостойкие.</w:t>
      </w:r>
    </w:p>
    <w:p>
      <w:pPr>
        <w:pStyle w:val="Heading2"/>
      </w:pPr>
      <w:r>
        <w:rPr>
          <w:b/>
          <w:sz w:val="24"/>
        </w:rPr>
        <w:t xml:space="preserve">7.2 Порядок предварительного выбора сечений</w:t>
      </w:r>
    </w:p>
    <w:p>
      <w:r>
        <w:rPr>
          <w:sz w:val="20"/>
        </w:rPr>
        <w:t xml:space="preserve">Сечения основных питающих кабелей выбираются последовательно по следующим условиям: по длительно допустимому току с учётом способа прокладки, числа совместно проложенных кабелей и расчётной температуры среды; по допустимой потере напряжения в нормальном режиме и при пуске наибольшего электродвигателя; по термической стойкости к току короткого замыкания (после выполнения расчёта раздела 8); по условию срабатывания защиты при однофазном коротком замыкании в сети 0,4 кВ; по механической прочности.</w:t>
      </w:r>
    </w:p>
    <w:p>
      <w:r>
        <w:rPr>
          <w:sz w:val="20"/>
        </w:rPr>
        <w:t xml:space="preserve">Расчётный ток линии определяется по установленной мощности с учётом коэффициента мощности и коэффициента полезного действия электроприёмника. Значения коэффициентов на настоящей стадии приняты ориентировочно и уточняются по данным изготовителей.</w:t>
      </w:r>
    </w:p>
    <w:p>
      <w:pPr>
        <w:pStyle w:val="Heading2"/>
      </w:pPr>
      <w:r>
        <w:rPr>
          <w:b/>
          <w:sz w:val="24"/>
        </w:rPr>
        <w:t xml:space="preserve">7.3 Основные питающие линии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2000"/>
        <w:gridCol w:w="1150"/>
        <w:gridCol w:w="2000"/>
        <w:gridCol w:w="180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Линия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Нагрузка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Напряжение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5"/>
              </w:rPr>
              <w:t xml:space="preserve">Расчётный ток (предварительно)</w:t>
            </w:r>
          </w:p>
        </w:tc>
        <w:tc>
          <w:tcPr>
            <w:tcW w:w="180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Питающая линия на щит участка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Расчётная нагрузка 110–150 кВт (ориентировочно)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190–255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Сечение уточняется по длине трассы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шкафу управления ниткой медного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69,5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118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По спецификации исходных данных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шкафу управления ниткой смешанного купороса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44,5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76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По спецификации исходных данных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Линия к наибольшему приводу (циркуляционный насос)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22 кВт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 кВ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ориентировочно 42 А</w:t>
            </w:r>
          </w:p>
        </w:tc>
        <w:tc>
          <w:tcPr>
            <w:tcW w:w="1804" w:type="dxa"/>
          </w:tcPr>
          <w:p>
            <w:r>
              <w:rPr>
                <w:sz w:val="16"/>
              </w:rPr>
              <w:t xml:space="preserve">Прямой пуск</w:t>
            </w:r>
          </w:p>
        </w:tc>
      </w:tr>
    </w:tbl>
    <w:p>
      <w:r>
        <w:rPr>
          <w:sz w:val="20"/>
        </w:rPr>
        <w:t xml:space="preserve">Приведённые токи предварительные: они получены по установленной мощности и принятым ориентировочно коэффициентам. Сечения кабелей определяются после утверждения сводной таблицы электроприёмников и получения технических условий; кабельные журналы и планы прокладки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8. Расчёт токов короткого замыкания</w:t>
      </w:r>
    </w:p>
    <w:p>
      <w:r>
        <w:rPr>
          <w:sz w:val="20"/>
        </w:rPr>
        <w:t xml:space="preserve">Расчёт выполняется в объёме, необходимом для предварительного выбора оборудования. Исходные данные, требуемые для расчёта: мощность (ток) короткого замыкания в точке присоединения по техническим условиям сетевой организации; параметры силовых трансформаторов; длины, сечения и способ прокладки питающих линий; параметры электродвигателей, участвующих в подпитке места короткого замыкания.</w:t>
      </w:r>
    </w:p>
    <w:p>
      <w:r>
        <w:rPr>
          <w:sz w:val="20"/>
        </w:rPr>
        <w:t xml:space="preserve">На момент выпуска настоящей ревизии технические условия не получены, поэтому мощность короткого замыкания в точке присоединения не задана. Расчёт выполняется после её получения; в настоящем документе зафиксирован его объём.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Расчётные точки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Шины распределительного устройства высшего напряжения, шины 0,4 кВ подстанции, концы основных питающих линий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Определяемые величины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Начальное действующее значение периодической составляющей тока трёхфазного короткого замыкания, ударный ток, установившийся ток; для сети 0,4 кВ — ток однофазного короткого замыкания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Проверяемое оборудование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Коммутационные аппараты — по отключающей способности и электродинамической стойкости; проводники и шины — по термической стойкости; аппараты защиты — по чувствительности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Учёт подпитки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От электродвигателей напряжением выше 1 кВ и от синхронных машин площадки — по данным технических условий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Результат</w:t>
            </w:r>
          </w:p>
        </w:tc>
        <w:tc>
          <w:tcPr>
            <w:tcW w:w="6754" w:type="dxa"/>
          </w:tcPr>
          <w:p>
            <w:r>
              <w:rPr>
                <w:sz w:val="16"/>
              </w:rPr>
              <w:t xml:space="preserve">Предварительный выбор аппаратов и проводников; исходные данные для задания на релейную защиту</w:t>
            </w:r>
          </w:p>
        </w:tc>
      </w:tr>
    </w:tbl>
    <w:p>
      <w:r>
        <w:rPr>
          <w:sz w:val="20"/>
        </w:rPr>
        <w:t xml:space="preserve">Расчёт уставок релейной защиты, карты селективности и проверка чувствительности защит в полном объёме относятся к детальному этапу проектирования.</w:t>
      </w:r>
    </w:p>
    <w:p>
      <w:pPr>
        <w:pStyle w:val="Heading1"/>
      </w:pPr>
      <w:r>
        <w:rPr>
          <w:b/>
          <w:sz w:val="28"/>
        </w:rPr>
        <w:t xml:space="preserve">9. Заземление, уравнивание потенциалов и молниезащита</w:t>
      </w:r>
    </w:p>
    <w:p>
      <w:r>
        <w:rPr>
          <w:sz w:val="20"/>
        </w:rPr>
        <w:t xml:space="preserve">По участку выполняется магистраль уравнивания потенциалов с присоединением корпусов аппаратов, этажерок обслуживания, стояков трубопроводов и металлических конструкций; заземляющие проводники и крепления — в химически стойком исполнении.</w:t>
      </w:r>
    </w:p>
    <w:p>
      <w:r>
        <w:rPr>
          <w:sz w:val="20"/>
        </w:rPr>
        <w:t xml:space="preserve">Заземление электрооборудования выполняется по системе TN-S сети 0,4 кВ цеха; корпуса шкафов управления и преобразователей частоты присоединяются к магистрали уравнивания потенциалов отдельными проводниками.</w:t>
      </w:r>
    </w:p>
    <w:p>
      <w:r>
        <w:rPr>
          <w:sz w:val="20"/>
        </w:rPr>
        <w:t xml:space="preserve">Заземляющее устройство и молниезащита здания относятся к проекту здания (существующее здание гидрометаллургического цеха либо новый корпус); тип заземлителя определяется по данным инженерных изысканий на детальном этапе.</w:t>
      </w:r>
    </w:p>
    <w:p>
      <w:r>
        <w:rPr>
          <w:sz w:val="20"/>
        </w:rPr>
        <w:t xml:space="preserve">Для оборудования, работающего с кислыми растворами, предусматриваются меры электрокоррозионной безопасности — исключение блуждающих токов через трубопроводы и конструкции.</w:t>
      </w:r>
    </w:p>
    <w:p>
      <w:r>
        <w:rPr>
          <w:sz w:val="20"/>
        </w:rPr>
        <w:t xml:space="preserve">Принципиальная схема заземления и молниезащиты приводится в составе настоящего документа и компоновочных решений лота; рабочие схемы сеток заземления и молниеприёмных устройств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10. Электрическое освещение</w:t>
      </w:r>
    </w:p>
    <w:p>
      <w:r>
        <w:rPr>
          <w:sz w:val="20"/>
        </w:rPr>
        <w:t xml:space="preserve">Предусматриваются рабочее, аварийное (освещение безопасности и эвакуационное) и ремонтное освещение; нормируемая освещённость — по СП 52.13330.</w:t>
      </w:r>
    </w:p>
    <w:p>
      <w:r>
        <w:rPr>
          <w:sz w:val="20"/>
        </w:rPr>
        <w:t xml:space="preserve">Исполнение светильников — химически стойкое, со степенью защиты оболочки не ниже IP54 (ГОСТ 14254-2015), в зонах с возможным орошением — выше. Аэрозоли серной кислоты и сульфатов определяют требования к материалам корпусов и уплотнений.</w:t>
      </w:r>
    </w:p>
    <w:p>
      <w:r>
        <w:rPr>
          <w:sz w:val="20"/>
        </w:rPr>
        <w:t xml:space="preserve">Зоны аварийного и эвакуационного освещения — площадки обслуживания этажерок на отметках плюс 8…плюс 9 м, приямки на отметках минус 2,0…минус 2,5 м, пути эвакуации и лестницы.</w:t>
      </w:r>
    </w:p>
    <w:p>
      <w:r>
        <w:rPr>
          <w:sz w:val="20"/>
        </w:rPr>
        <w:t xml:space="preserve">Светотехнический расчёт и выбор типов светильников выполняются в составе рабочей документации.</w:t>
      </w:r>
    </w:p>
    <w:p>
      <w:pPr>
        <w:pStyle w:val="Heading1"/>
      </w:pPr>
      <w:r>
        <w:rPr>
          <w:b/>
          <w:sz w:val="28"/>
        </w:rPr>
        <w:t xml:space="preserve">11. Взрывоопасные зоны и исполнение электрооборудования</w:t>
      </w:r>
    </w:p>
    <w:p>
      <w:r>
        <w:rPr>
          <w:sz w:val="20"/>
        </w:rPr>
        <w:t xml:space="preserve">Взрывоопасные зоны в границах лота не образуются: все среды участка негорючие — водные растворы сульфатов меди и никеля, серная кислота, водяной пар (составы по ТЗ на БИ ред. 4.1, разделы по сырью и продукции). Классификация взрывоопасных зон по ПУЭ и ГОСТ IEC 60079-10-1 для участка не выполняется, взрывозащищённое исполнение электрооборудования не требуется.</w:t>
      </w:r>
    </w:p>
    <w:p>
      <w:r>
        <w:rPr>
          <w:sz w:val="20"/>
        </w:rPr>
        <w:t xml:space="preserve">Определяющим для выбора исполнения электрооборудования является не взрывоопасность, а химическая активность среды: степень защиты оболочек не ниже IP54, шкафы систем автоматизации — IP65 с избыточным давлением очищенного и осушенного воздуха (Приложение №5 к ТЗ).</w:t>
      </w:r>
    </w:p>
    <w:p>
      <w:r>
        <w:rPr>
          <w:sz w:val="20"/>
        </w:rPr>
        <w:t xml:space="preserve">Категории помещений по пожарной и взрывопожарной опасности определяются расчётом в составе проектной документации; вывод об отсутствии взрывоопасных зон подтверждается составами сред и подлежит согласованию с Заказчиком.</w:t>
      </w:r>
    </w:p>
    <w:p>
      <w:pPr>
        <w:pStyle w:val="Heading1"/>
      </w:pPr>
      <w:r>
        <w:rPr>
          <w:b/>
          <w:sz w:val="28"/>
        </w:rPr>
        <w:t xml:space="preserve">12. Предварительный перечень основного электрооборудования</w:t>
      </w:r>
    </w:p>
    <w:p>
      <w:r>
        <w:rPr>
          <w:sz w:val="20"/>
        </w:rPr>
        <w:t xml:space="preserve">Перечень предварительный: он определяет состав основного электрооборудования, необходимый для запроса технико-коммерческих предложений и для оценки стоимости поставки. Технические характеристики уточняются по утверждённой сводной таблице электроприёмников, результатам расчёта токов короткого замыкания и техническим предложениям изготовителей. Кабельная продукция, кабельные конструкции и светильники относятся к материалам и специфицируются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3900"/>
        <w:gridCol w:w="1100"/>
        <w:gridCol w:w="18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и предварительная характеристика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Кол-во</w:t>
            </w:r>
          </w:p>
        </w:tc>
        <w:tc>
          <w:tcPr>
            <w:tcW w:w="1854" w:type="dxa"/>
            <w:shd w:val="clear" w:fill="EFEFEF"/>
          </w:tcPr>
          <w:p>
            <w:r>
              <w:rPr>
                <w:b/>
                <w:sz w:val="15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Щит участка 0,4 кВ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Вводное устройство и отходящие линии технологических групп; учёт электроэнергии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Граница поставки по ТЗ — шкафы управления 0,4 кВ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Шкафы управления технологическими агрегатами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Комплектно с оборудованием ниток кристаллизации, узла растворения и узла фасовки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перечню оборудования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Преобразователи частоты приводов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Для приводов с регулированием подачи; исполнение по среде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перечню оборудования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Устанавливаются раздельно от шкафов автоматизации (Приложение №5 к ТЗ)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Источники бесперебойного питания систем автоматизации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Двойного преобразования, автономная работа не менее 10 мин, автоматический байпас, сетевые платы с поддержкой SNMP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 автоматизации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Приложение №5 к ТЗ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Щиты освещения и ремонтных потребителей</w:t>
            </w:r>
          </w:p>
        </w:tc>
        <w:tc>
          <w:tcPr>
            <w:tcW w:w="3900" w:type="dxa"/>
          </w:tcPr>
          <w:p>
            <w:r>
              <w:rPr>
                <w:sz w:val="16"/>
              </w:rPr>
              <w:t xml:space="preserve">0,4 кВ, химически стойкое исполнение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схеме</w:t>
            </w:r>
          </w:p>
        </w:tc>
        <w:tc>
          <w:tcPr>
            <w:tcW w:w="1854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12.1 Электрооборудование длительного цикла изготовления</w:t>
      </w:r>
    </w:p>
    <w:p>
      <w:r>
        <w:rPr>
          <w:sz w:val="20"/>
        </w:rPr>
        <w:t xml:space="preserve">К электрооборудованию длительного цикла изготовления в составе лота относятся силовые трансформаторы, ячейки распределительных устройств и преобразователи частоты средней и большой мощности. Исходные требования и сроки изготовления по этим позициям сведены в документе ОВЭ75-БИ-Л2-ДЦ; настоящий документ выдаёт для них электротехнические параметры — напряжение, мощность, расчётный ток короткого замыкания и требования к исполнению.</w:t>
      </w:r>
    </w:p>
    <w:p>
      <w:r>
        <w:rPr>
          <w:sz w:val="20"/>
        </w:rPr>
        <w:t xml:space="preserve">Сроки изготовления электрооборудования исходными данными не заданы и подтверждаются техническими предложениями изготовителей.</w:t>
      </w:r>
    </w:p>
    <w:p>
      <w:pPr>
        <w:pStyle w:val="Heading1"/>
      </w:pPr>
      <w:r>
        <w:rPr>
          <w:b/>
          <w:sz w:val="28"/>
        </w:rPr>
        <w:t xml:space="preserve">13. Опросные листы на основное электротехническое оборудование</w:t>
      </w:r>
    </w:p>
    <w:p>
      <w:r>
        <w:rPr>
          <w:sz w:val="20"/>
        </w:rPr>
        <w:t xml:space="preserve">Комплект опросных листов выдаётся на основное электротехническое оборудование лота. Опросные листы на технологическое оборудование выпускаются отдельным альбомом; настоящий раздел определяет состав электротехнической части.</w:t>
      </w:r>
    </w:p>
    <w:p>
      <w:r>
        <w:rPr>
          <w:sz w:val="20"/>
        </w:rPr>
        <w:t xml:space="preserve">Перечень опросных листов:</w:t>
      </w:r>
    </w:p>
    <w:p>
      <w:r>
        <w:rPr>
          <w:sz w:val="20"/>
        </w:rPr>
        <w:t xml:space="preserve">— Щит участка 0,4 кВ</w:t>
      </w:r>
    </w:p>
    <w:p>
      <w:r>
        <w:rPr>
          <w:sz w:val="20"/>
        </w:rPr>
        <w:t xml:space="preserve">— Преобразователь частоты привода 0,4 кВ</w:t>
      </w:r>
    </w:p>
    <w:p>
      <w:r>
        <w:rPr>
          <w:sz w:val="20"/>
        </w:rPr>
        <w:t xml:space="preserve">— Источник бесперебойного питания систем автоматизации</w:t>
      </w:r>
    </w:p>
    <w:p>
      <w:r>
        <w:rPr>
          <w:sz w:val="20"/>
        </w:rPr>
        <w:t xml:space="preserve">Состав данных опросного листа:</w:t>
      </w:r>
    </w:p>
    <w:p>
      <w:r>
        <w:rPr>
          <w:sz w:val="20"/>
        </w:rPr>
        <w:t xml:space="preserve">— назначение, место установки и характеристика окружающей среды (температура, запылённость, химическая активность, наличие взрывоопасной зоны)</w:t>
      </w:r>
    </w:p>
    <w:p>
      <w:r>
        <w:rPr>
          <w:sz w:val="20"/>
        </w:rPr>
        <w:t xml:space="preserve">— номинальное напряжение, число фаз и частота; для трансформаторов — схема и группа соединения обмоток, напряжение короткого замыкания</w:t>
      </w:r>
    </w:p>
    <w:p>
      <w:r>
        <w:rPr>
          <w:sz w:val="20"/>
        </w:rPr>
        <w:t xml:space="preserve">— номинальная мощность (ток), режим работы, допустимая перегрузка</w:t>
      </w:r>
    </w:p>
    <w:p>
      <w:r>
        <w:rPr>
          <w:sz w:val="20"/>
        </w:rPr>
        <w:t xml:space="preserve">— расчётный ток короткого замыкания в точке установки; требования к электродинамической и термической стойкости, отключающей способности</w:t>
      </w:r>
    </w:p>
    <w:p>
      <w:r>
        <w:rPr>
          <w:sz w:val="20"/>
        </w:rPr>
        <w:t xml:space="preserve">— степень защиты оболочки по ГОСТ 14254-2015, климатическое исполнение и категория размещения</w:t>
      </w:r>
    </w:p>
    <w:p>
      <w:r>
        <w:rPr>
          <w:sz w:val="20"/>
        </w:rPr>
        <w:t xml:space="preserve">— требования к системе заземления и к присоединению защитных проводников</w:t>
      </w:r>
    </w:p>
    <w:p>
      <w:r>
        <w:rPr>
          <w:sz w:val="20"/>
        </w:rPr>
        <w:t xml:space="preserve">— состав измерений, защит и сигнализации; интерфейс с системой автоматизации (протокол, состав передаваемых сигналов)</w:t>
      </w:r>
    </w:p>
    <w:p>
      <w:r>
        <w:rPr>
          <w:sz w:val="20"/>
        </w:rPr>
        <w:t xml:space="preserve">— габариты, масса, способ доставки и монтажа, требования к помещению</w:t>
      </w:r>
    </w:p>
    <w:p>
      <w:r>
        <w:rPr>
          <w:sz w:val="20"/>
        </w:rPr>
        <w:t xml:space="preserve">— комплектность поставки, запасные части на два года эксплуатации, шефмонтаж и пусконаладка, гарантийные обязательства</w:t>
      </w:r>
    </w:p>
    <w:p>
      <w:r>
        <w:rPr>
          <w:sz w:val="20"/>
        </w:rPr>
        <w:t xml:space="preserve">— подтверждение соответствия ТР ТС 004/2011 и ТР ТС 020/2011; срок изготовления и поставки</w:t>
      </w:r>
    </w:p>
    <w:p>
      <w:r>
        <w:rPr>
          <w:sz w:val="20"/>
        </w:rPr>
        <w:t xml:space="preserve">Опросные листы заполняются после согласования перечня основного электрооборудования и используются для запроса технико-коммерческих предложений. Позиции, не определённые на настоящей стадии, помечаются как уточняемые по техническим предложениям изготовителя.</w:t>
      </w:r>
    </w:p>
    <w:p>
      <w:pPr>
        <w:pStyle w:val="Heading1"/>
      </w:pPr>
      <w:r>
        <w:rPr>
          <w:b/>
          <w:sz w:val="28"/>
        </w:rPr>
        <w:t xml:space="preserve">14. Графическая часть и планы расположения</w:t>
      </w:r>
    </w:p>
    <w:p>
      <w:r>
        <w:rPr>
          <w:sz w:val="20"/>
        </w:rPr>
        <w:t xml:space="preserve">Состав графических материалов электротехнической части по лоту приведён ниже. Размещение основного электрооборудования и главные кабельные коридоры показываются в составе компоновочных решений; детальная трассировка кабелей, кабельные журналы и планы прокладки выполняются в составе рабочей документации.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и место выпуска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Однолинейная схема электроснабжения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Главные цепи 0,4 кВ участка; выпускается в составе БИ после утверждения сводной таблицы электроприёмников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Планы расположения электрооборудования и главные кабельные коридоры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В составе компоновочных решений лота — ОВЭ75-БИ-Л2-КР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6"/>
              </w:rPr>
              <w:t xml:space="preserve">Схема комплекса технических средств систем автоматизации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Отдельный лист выпуска — ОВЭ75-БИ-Л2-АСУ</w:t>
            </w:r>
          </w:p>
        </w:tc>
      </w:tr>
    </w:tbl>
    <w:p>
      <w:r>
        <w:rPr>
          <w:sz w:val="20"/>
        </w:rPr>
        <w:t xml:space="preserve">Требования к размещению электротехнического оборудования: шкафы систем автоматизации не устанавливаются в помещениях электроустановок; силовое оборудование (преобразователи частоты и подобное) и оборудование систем автоматизации размещаются в разных шкафах; средства промышленной автоматизации размещаются на высоте до 1 700 мм от уровня обслуживания, чтобы исключить применение лестниц и стремянок (Приложение №5 к ТЗ).</w:t>
      </w:r>
    </w:p>
    <w:p>
      <w:pPr>
        <w:pStyle w:val="Heading1"/>
      </w:pPr>
      <w:r>
        <w:rPr>
          <w:b/>
          <w:sz w:val="28"/>
        </w:rPr>
        <w:t xml:space="preserve">15.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решения Заказчика, технических условий сетевой организации, данных инженерных изысканий либо технических предложений изготовителей. Каждая позиция закрывается до выдачи материалов на этап основных технических решений.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Протокол применимых пунктов Приложения №3 на стадии БИ — подлежит согласованию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Сверка установленной (160–220 кВт) и средней (≈190 кВт) мощности при комплектации — вероятна недооценка установленной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Окончательное категорирование электроприёмников и точка подключения 0,4 кВ —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Расчёт посадки напряжения при прямом пуске наибольшего привода в сети цеха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Располагаемый резерв мощности питающей подстанции гидрометаллургического цеха — по обследованию существующих сетей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Необходимость локальной установки компенсации реактивной мощности на щите участка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