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28"/>
        </w:rPr>
        <w:t xml:space="preserve">1. Общие положения</w:t>
      </w:r>
    </w:p>
    <w:p>
      <w:pPr>
        <w:pStyle w:val="Heading2"/>
      </w:pPr>
      <w:r>
        <w:rPr>
          <w:b/>
          <w:sz w:val="24"/>
        </w:rPr>
        <w:t xml:space="preserve">1.1 Назначение документа</w:t>
      </w:r>
    </w:p>
    <w:p>
      <w:r>
        <w:rPr>
          <w:sz w:val="20"/>
        </w:rPr>
        <w:t xml:space="preserve">Документ содержит требования к монтажу технологического оборудования Лота №2 «Участок купороса», включая массы и габариты самых тяжёлых и крупногабаритных частей, требования к монтажным проёмам и путям подачи, последовательность крупноблочного монтажа, требования к грузоподъёмным механизмам и такелажной оснастке и особые требования к отдельным видам работ. Документ выполняет требование состава Базового инжиниринга «Требования к монтажу (включая вес самых тяжёлых частей)» Технического задания на Базовый инжиниринг ред. 4.1.</w:t>
      </w:r>
    </w:p>
    <w:p>
      <w:r>
        <w:rPr>
          <w:sz w:val="20"/>
        </w:rPr>
        <w:t xml:space="preserve">Требования настоящего документа являются исходными данными для разработки проекта производства работ монтажной организацией, для назначения монтажных проёмов и путей подачи в компоновочных решениях, для проверки строительных конструкций на монтажные нагрузки и для формирования требований монтажной технологичности в опросных листах и технических условиях поставки оборудования.</w:t>
      </w:r>
    </w:p>
    <w:p>
      <w:r>
        <w:rPr>
          <w:sz w:val="20"/>
        </w:rPr>
        <w:t xml:space="preserve">Проработанный вариант размещения участка — существующее здание гидрометаллургического участка: корпус 96 × 108 м, пролёты по буквенным осям 18 + 6 + 24 + 24 + 24 м, шаг колонн 6 м, мостовые краны грузоподъёмностью 5 и 7,5 т с верхом рельсов +10,000 и +10,500. Определяющее условие организации монтажа: грузоподъёмность существующих кранов ниже массы наибольшей неделимой части оборудования, поэтому способ подачи крупногабарита (укрупнительная сборка на площадке либо мобильный кран через монтажный проём) является самостоятельным решением стадии Базового инжиниринга. В базовом сценарии нового корпуса требования настоящего документа служат заданием на монтажную зону и грузоподъёмность кранового оборудования.</w:t>
      </w:r>
    </w:p>
    <w:p>
      <w:r>
        <w:rPr>
          <w:color w:val="666666"/>
          <w:sz w:val="17"/>
        </w:rPr>
        <w:t xml:space="preserve">Источник: ИД ч.2 (разд. 4.2.1 — материальное исполнение, рис. 4.4 и 4.5 — спецификации ниток выпарки); ТЗ на БИ ред. 4.1 (п. 1.3 — базис размещения, п. 4.4 — состав оборудования); приложение №7 к ТЗ — обмерные чертежи здания гидрометаллургического участка; расчётная модель КВАНТ</w:t>
      </w:r>
    </w:p>
    <w:p>
      <w:r>
        <w:rPr>
          <w:sz w:val="20"/>
        </w:rPr>
        <w:t xml:space="preserve">Связанные документы выпуска по лоту:</w:t>
      </w:r>
    </w:p>
    <w:p>
      <w:r>
        <w:rPr>
          <w:sz w:val="20"/>
        </w:rPr>
        <w:t xml:space="preserve">— ОВЭ75-БИ-Л2-ПЗ — Пояснительная записка</w:t>
      </w:r>
    </w:p>
    <w:p>
      <w:r>
        <w:rPr>
          <w:sz w:val="20"/>
        </w:rPr>
        <w:t xml:space="preserve">— ОВЭ75-БИ-Л2-КР — Компоновочные решения (планы, разрезы)</w:t>
      </w:r>
    </w:p>
    <w:p>
      <w:r>
        <w:rPr>
          <w:sz w:val="20"/>
        </w:rPr>
        <w:t xml:space="preserve">— ОВЭ75-БИ-Л2-СО — Спецификация оборудования с техническими характеристиками</w:t>
      </w:r>
    </w:p>
    <w:p>
      <w:r>
        <w:rPr>
          <w:sz w:val="20"/>
        </w:rPr>
        <w:t xml:space="preserve">— ОВЭ75-БИ-Л2-ОЛ — Опросные листы основного оборудования (альбом)</w:t>
      </w:r>
    </w:p>
    <w:p>
      <w:r>
        <w:rPr>
          <w:sz w:val="20"/>
        </w:rPr>
        <w:t xml:space="preserve">— ОВЭ75-БИ-Л2-ДЦ — Исходные требования на длинноцикловое оборудование</w:t>
      </w:r>
    </w:p>
    <w:p>
      <w:r>
        <w:rPr>
          <w:sz w:val="20"/>
        </w:rPr>
        <w:t xml:space="preserve">— ОВЭ75-БИ-Л2-НГ — Планы строительных конструкций и фундаментов с предварительными нагрузками</w:t>
      </w:r>
    </w:p>
    <w:p>
      <w:pPr>
        <w:pStyle w:val="Heading2"/>
      </w:pPr>
      <w:r>
        <w:rPr>
          <w:b/>
          <w:sz w:val="24"/>
        </w:rPr>
        <w:t xml:space="preserve">1.2 Границы объёма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450"/>
        <w:gridCol w:w="6904"/>
      </w:tblGrid>
      <w:tr>
        <w:trPr>
          <w:tblHeader/>
          <w:cantSplit/>
        </w:trPr>
        <w:tc>
          <w:tcPr>
            <w:tcW w:w="2450" w:type="dxa"/>
            <w:shd w:val="clear" w:fill="EFEFEF"/>
          </w:tcPr>
          <w:p>
            <w:r>
              <w:rPr>
                <w:b/>
                <w:sz w:val="15"/>
              </w:rPr>
              <w:t xml:space="preserve">Раздел объёма</w:t>
            </w:r>
          </w:p>
        </w:tc>
        <w:tc>
          <w:tcPr>
            <w:tcW w:w="6904" w:type="dxa"/>
            <w:shd w:val="clear" w:fill="EFEFEF"/>
          </w:tcPr>
          <w:p>
            <w:r>
              <w:rPr>
                <w:b/>
                <w:sz w:val="15"/>
              </w:rPr>
              <w:t xml:space="preserve">Состав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7"/>
              </w:rPr>
              <w:t xml:space="preserve">Выдаётся в составе Базового инжиниринга</w:t>
            </w:r>
          </w:p>
        </w:tc>
        <w:tc>
          <w:tcPr>
            <w:tcW w:w="6904" w:type="dxa"/>
          </w:tcPr>
          <w:p>
            <w:r>
              <w:rPr>
                <w:sz w:val="17"/>
              </w:rPr>
              <w:t xml:space="preserve">Ведомость тяжёлых и крупногабаритных монтажных единиц с массами, габаритами и отметками установки; требования к монтажным проёмам и путям подачи; последовательность крупноблочного монтажа; требования к грузоподъёмным механизмам и такелажной оснастке; особые требования к производству отдельных видов работ; требования монтажной технологичности, транслируемые в опросные листы и технические требования поставки.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7"/>
              </w:rPr>
              <w:t xml:space="preserve">Относится к стадии проекта производства работ</w:t>
            </w:r>
          </w:p>
        </w:tc>
        <w:tc>
          <w:tcPr>
            <w:tcW w:w="6904" w:type="dxa"/>
          </w:tcPr>
          <w:p>
            <w:r>
              <w:rPr>
                <w:sz w:val="17"/>
              </w:rPr>
              <w:t xml:space="preserve">Проект производства работ, в том числе проект производства работ с применением подъёмных сооружений: расстановка кранов по стоянкам, схемы строповки конкретных грузов, расчёты устойчивости и нагрузок на основания под опорами кранов, календарный график монтажа, потребность в оснастке и персонале. Разрабатывается монтажной организацией на основании настоящих требований и компоновочных решений лота.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7"/>
              </w:rPr>
              <w:t xml:space="preserve">Относится к поставке оборудования</w:t>
            </w:r>
          </w:p>
        </w:tc>
        <w:tc>
          <w:tcPr>
            <w:tcW w:w="6904" w:type="dxa"/>
          </w:tcPr>
          <w:p>
            <w:r>
              <w:rPr>
                <w:sz w:val="17"/>
              </w:rPr>
              <w:t xml:space="preserve">Массы, координаты центров тяжести, деление на транспортабельные и монтажные блоки, схемы строповки за штатные элементы, инструкции по монтажу и выверке, объём шеф-монтажа. Поступают с техническими предложениями и конструкторской документацией изготовителей и вносятся в ведомость настоящего документа итерацией.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1.3 Достоверность массовых характеристик</w:t>
      </w:r>
    </w:p>
    <w:p>
      <w:r>
        <w:rPr>
          <w:sz w:val="20"/>
        </w:rPr>
        <w:t xml:space="preserve">Массы и габариты ведомости раздела 2 имеют разную степень определённости. Каждое значение сопровождается указанием источника; порядок использования значений при назначении механизмов и оснастки приведён ниже.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1900"/>
        <w:gridCol w:w="3700"/>
        <w:gridCol w:w="3754"/>
      </w:tblGrid>
      <w:tr>
        <w:trPr>
          <w:tblHeader/>
          <w:cantSplit/>
        </w:trPr>
        <w:tc>
          <w:tcPr>
            <w:tcW w:w="1900" w:type="dxa"/>
            <w:shd w:val="clear" w:fill="EFEFEF"/>
          </w:tcPr>
          <w:p>
            <w:r>
              <w:rPr>
                <w:b/>
                <w:sz w:val="15"/>
              </w:rPr>
              <w:t xml:space="preserve">Категория</w:t>
            </w:r>
          </w:p>
        </w:tc>
        <w:tc>
          <w:tcPr>
            <w:tcW w:w="3700" w:type="dxa"/>
            <w:shd w:val="clear" w:fill="EFEFEF"/>
          </w:tcPr>
          <w:p>
            <w:r>
              <w:rPr>
                <w:b/>
                <w:sz w:val="15"/>
              </w:rPr>
              <w:t xml:space="preserve">Признак</w:t>
            </w:r>
          </w:p>
        </w:tc>
        <w:tc>
          <w:tcPr>
            <w:tcW w:w="3754" w:type="dxa"/>
            <w:shd w:val="clear" w:fill="EFEFEF"/>
          </w:tcPr>
          <w:p>
            <w:r>
              <w:rPr>
                <w:b/>
                <w:sz w:val="15"/>
              </w:rPr>
              <w:t xml:space="preserve">Порядок использования</w:t>
            </w:r>
          </w:p>
        </w:tc>
      </w:tr>
      <w:tr>
        <w:trPr>
          <w:cantSplit/>
        </w:trPr>
        <w:tc>
          <w:tcPr>
            <w:tcW w:w="1900" w:type="dxa"/>
          </w:tcPr>
          <w:p>
            <w:r>
              <w:rPr>
                <w:sz w:val="17"/>
              </w:rPr>
              <w:t xml:space="preserve">Задано исходными данными</w:t>
            </w:r>
          </w:p>
        </w:tc>
        <w:tc>
          <w:tcPr>
            <w:tcW w:w="3700" w:type="dxa"/>
          </w:tcPr>
          <w:p>
            <w:r>
              <w:rPr>
                <w:sz w:val="17"/>
              </w:rPr>
              <w:t xml:space="preserve">Масса или габарит приведены в исходных данных Заказчика</w:t>
            </w:r>
          </w:p>
        </w:tc>
        <w:tc>
          <w:tcPr>
            <w:tcW w:w="3754" w:type="dxa"/>
          </w:tcPr>
          <w:p>
            <w:r>
              <w:rPr>
                <w:sz w:val="17"/>
              </w:rPr>
              <w:t xml:space="preserve">Принимается без изменения; уточняется конструкторской документацией изготовителя</w:t>
            </w:r>
          </w:p>
        </w:tc>
      </w:tr>
      <w:tr>
        <w:trPr>
          <w:cantSplit/>
        </w:trPr>
        <w:tc>
          <w:tcPr>
            <w:tcW w:w="1900" w:type="dxa"/>
          </w:tcPr>
          <w:p>
            <w:r>
              <w:rPr>
                <w:sz w:val="17"/>
              </w:rPr>
              <w:t xml:space="preserve">Расчёт</w:t>
            </w:r>
          </w:p>
        </w:tc>
        <w:tc>
          <w:tcPr>
            <w:tcW w:w="3700" w:type="dxa"/>
          </w:tcPr>
          <w:p>
            <w:r>
              <w:rPr>
                <w:sz w:val="17"/>
              </w:rPr>
              <w:t xml:space="preserve">Значение получено расчётом по геометрии, объёму и плотности</w:t>
            </w:r>
          </w:p>
        </w:tc>
        <w:tc>
          <w:tcPr>
            <w:tcW w:w="3754" w:type="dxa"/>
          </w:tcPr>
          <w:p>
            <w:r>
              <w:rPr>
                <w:sz w:val="17"/>
              </w:rPr>
              <w:t xml:space="preserve">Принимается как предварительное; уточняется по фактическим характеристикам поставки</w:t>
            </w:r>
          </w:p>
        </w:tc>
      </w:tr>
      <w:tr>
        <w:trPr>
          <w:cantSplit/>
        </w:trPr>
        <w:tc>
          <w:tcPr>
            <w:tcW w:w="1900" w:type="dxa"/>
          </w:tcPr>
          <w:p>
            <w:r>
              <w:rPr>
                <w:sz w:val="17"/>
              </w:rPr>
              <w:t xml:space="preserve">Предварительная оценка</w:t>
            </w:r>
          </w:p>
        </w:tc>
        <w:tc>
          <w:tcPr>
            <w:tcW w:w="3700" w:type="dxa"/>
          </w:tcPr>
          <w:p>
            <w:r>
              <w:rPr>
                <w:sz w:val="17"/>
              </w:rPr>
              <w:t xml:space="preserve">Значение оценено Исполнителем по геометрии и аналогам, задано диапазоном</w:t>
            </w:r>
          </w:p>
        </w:tc>
        <w:tc>
          <w:tcPr>
            <w:tcW w:w="3754" w:type="dxa"/>
          </w:tcPr>
          <w:p>
            <w:r>
              <w:rPr>
                <w:sz w:val="17"/>
              </w:rPr>
              <w:t xml:space="preserve">В расчёты монтажной оснастки и грузоподъёмности принимается верхняя граница диапазона</w:t>
            </w:r>
          </w:p>
        </w:tc>
      </w:tr>
      <w:tr>
        <w:trPr>
          <w:cantSplit/>
        </w:trPr>
        <w:tc>
          <w:tcPr>
            <w:tcW w:w="1900" w:type="dxa"/>
          </w:tcPr>
          <w:p>
            <w:r>
              <w:rPr>
                <w:sz w:val="17"/>
              </w:rPr>
              <w:t xml:space="preserve">По ТКП изготовителя</w:t>
            </w:r>
          </w:p>
        </w:tc>
        <w:tc>
          <w:tcPr>
            <w:tcW w:w="3700" w:type="dxa"/>
          </w:tcPr>
          <w:p>
            <w:r>
              <w:rPr>
                <w:sz w:val="17"/>
              </w:rPr>
              <w:t xml:space="preserve">Характеристика изготовителем не задана</w:t>
            </w:r>
          </w:p>
        </w:tc>
        <w:tc>
          <w:tcPr>
            <w:tcW w:w="3754" w:type="dxa"/>
          </w:tcPr>
          <w:p>
            <w:r>
              <w:rPr>
                <w:sz w:val="17"/>
              </w:rPr>
              <w:t xml:space="preserve">Резервируются место установки, грузоподъёмность механизма и предельная масса блока; значение вносится по техническому предложению</w:t>
            </w:r>
          </w:p>
        </w:tc>
      </w:tr>
    </w:tbl>
    <w:p>
      <w:r>
        <w:rPr>
          <w:color w:val="555555"/>
          <w:sz w:val="18"/>
        </w:rPr>
        <w:t xml:space="preserve">Записи в графах ведомости: «По ТКП изготовителя» — характеристика в исходных данных не задана и вносится по техническому предложению; «Определяется на стадии БИ» — значение дают расчёты и решения текущей стадии; знак «—» — характеристика к позиции не применима.</w:t>
      </w:r>
    </w:p>
    <w:p>
      <w:pPr>
        <w:pStyle w:val="Heading2"/>
      </w:pPr>
      <w:r>
        <w:rPr>
          <w:b/>
          <w:sz w:val="24"/>
        </w:rPr>
        <w:t xml:space="preserve">1.4 Нормативная база производства монтажных работ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700"/>
        <w:gridCol w:w="6654"/>
      </w:tblGrid>
      <w:tr>
        <w:trPr>
          <w:tblHeader/>
          <w:cantSplit/>
        </w:trPr>
        <w:tc>
          <w:tcPr>
            <w:tcW w:w="2700" w:type="dxa"/>
            <w:shd w:val="clear" w:fill="EFEFEF"/>
          </w:tcPr>
          <w:p>
            <w:r>
              <w:rPr>
                <w:b/>
                <w:sz w:val="15"/>
              </w:rPr>
              <w:t xml:space="preserve">Документ</w:t>
            </w:r>
          </w:p>
        </w:tc>
        <w:tc>
          <w:tcPr>
            <w:tcW w:w="6654" w:type="dxa"/>
            <w:shd w:val="clear" w:fill="EFEFEF"/>
          </w:tcPr>
          <w:p>
            <w:r>
              <w:rPr>
                <w:b/>
                <w:sz w:val="15"/>
              </w:rPr>
              <w:t xml:space="preserve">Область применения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СП 75.13330.2011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Технологическое оборудование и технологические трубопроводы — производство и приёмка монтажных работ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Федеральные нормы и правила по подъёмным сооружениям (приказ Ростехнадзора от 26.11.2020 № 461)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Грузоподъёмные операции, работа мобильных кранов, проект производства работ с применением подъёмных сооружений на подъёмы у существующих конструкций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Федеральные нормы и правила (приказ Ростехнадзора от 15.12.2020 № 536)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Монтаж и испытания оборудования под давлением (паровые полости подогревателей)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СП 16.13330.2017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Монтажные стыки и опорные конструкции этажерок и стояков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ГОСТ 32569-2013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Трубопроводы технологические стальные — испытания на прочность и плотность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ГОСТ 6032-2017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Стали и сплавы коррозионностойкие — испытание на стойкость к межкристаллитной коррозии сварных соединений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ГОСТ 34233.1-2017, ГОСТ 34233.2-2017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Сосуды и аппараты — расчёт на прочность и на наружное давление; пробные давления при испытаниях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ГОСТ 15846-2002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Упаковка, маркирование и транспортирование продукции в районы Крайнего Севера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СП 68.13330.2017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Приёмка законченных строительством объектов</w:t>
            </w:r>
          </w:p>
        </w:tc>
      </w:tr>
    </w:tbl>
    <w:p>
      <w:r>
        <w:rPr>
          <w:color w:val="555555"/>
          <w:sz w:val="18"/>
        </w:rPr>
        <w:t xml:space="preserve">Далее по тексту сокращение ФНП означает федеральные нормы и правила в области промышленной безопасности, утверждённые приказом Ростехнадзора с указанным номером.</w:t>
      </w:r>
    </w:p>
    <w:p>
      <w:pPr>
        <w:pStyle w:val="Heading2"/>
      </w:pPr>
      <w:r>
        <w:rPr>
          <w:b/>
          <w:sz w:val="24"/>
        </w:rPr>
        <w:t xml:space="preserve">1.5 Условия производства работ на площадке</w:t>
      </w:r>
    </w:p>
    <w:p>
      <w:r>
        <w:rPr>
          <w:sz w:val="20"/>
        </w:rPr>
        <w:t xml:space="preserve">Площадка размещения — промышленная площадка в городе Мончегорске Мурманской области. Условия площадки общие для всех лотов комплекса и принимаются по Техническому заданию и исходным данным Заказчика.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500"/>
        <w:gridCol w:w="5400"/>
        <w:gridCol w:w="1454"/>
      </w:tblGrid>
      <w:tr>
        <w:trPr>
          <w:tblHeader/>
          <w:cantSplit/>
        </w:trPr>
        <w:tc>
          <w:tcPr>
            <w:tcW w:w="2500" w:type="dxa"/>
            <w:shd w:val="clear" w:fill="EFEFEF"/>
          </w:tcPr>
          <w:p>
            <w:r>
              <w:rPr>
                <w:b/>
                <w:sz w:val="15"/>
              </w:rPr>
              <w:t xml:space="preserve">Условие</w:t>
            </w:r>
          </w:p>
        </w:tc>
        <w:tc>
          <w:tcPr>
            <w:tcW w:w="5400" w:type="dxa"/>
            <w:shd w:val="clear" w:fill="EFEFEF"/>
          </w:tcPr>
          <w:p>
            <w:r>
              <w:rPr>
                <w:b/>
                <w:sz w:val="15"/>
              </w:rPr>
              <w:t xml:space="preserve">Значение</w:t>
            </w:r>
          </w:p>
        </w:tc>
        <w:tc>
          <w:tcPr>
            <w:tcW w:w="1454" w:type="dxa"/>
            <w:shd w:val="clear" w:fill="EFEFEF"/>
          </w:tcPr>
          <w:p>
            <w:r>
              <w:rPr>
                <w:b/>
                <w:sz w:val="15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Наиболее холодная пятидневка</w:t>
            </w:r>
          </w:p>
        </w:tc>
        <w:tc>
          <w:tcPr>
            <w:tcW w:w="5400" w:type="dxa"/>
          </w:tcPr>
          <w:p>
            <w:r>
              <w:rPr>
                <w:sz w:val="17"/>
              </w:rPr>
              <w:t xml:space="preserve">−34 °C при обеспеченности 0,98; −30 °C при 0,92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ИД ч.1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Наиболее холодные сутки</w:t>
            </w:r>
          </w:p>
        </w:tc>
        <w:tc>
          <w:tcPr>
            <w:tcW w:w="5400" w:type="dxa"/>
          </w:tcPr>
          <w:p>
            <w:r>
              <w:rPr>
                <w:sz w:val="17"/>
              </w:rPr>
              <w:t xml:space="preserve">−40 °C — расчётная температура для мероприятий зимнего монтажа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ИД ч.1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Отопительный период</w:t>
            </w:r>
          </w:p>
        </w:tc>
        <w:tc>
          <w:tcPr>
            <w:tcW w:w="5400" w:type="dxa"/>
          </w:tcPr>
          <w:p>
            <w:r>
              <w:rPr>
                <w:sz w:val="17"/>
              </w:rPr>
              <w:t xml:space="preserve">271 сут при средней температуре −4,5 °C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ИД ч.1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Строительно-климатическая зона</w:t>
            </w:r>
          </w:p>
        </w:tc>
        <w:tc>
          <w:tcPr>
            <w:tcW w:w="5400" w:type="dxa"/>
          </w:tcPr>
          <w:p>
            <w:r>
              <w:rPr>
                <w:sz w:val="17"/>
              </w:rPr>
              <w:t xml:space="preserve">IIА, субарктический климат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ИД ч.1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Ветровая нагрузка</w:t>
            </w:r>
          </w:p>
        </w:tc>
        <w:tc>
          <w:tcPr>
            <w:tcW w:w="5400" w:type="dxa"/>
          </w:tcPr>
          <w:p>
            <w:r>
              <w:rPr>
                <w:sz w:val="17"/>
              </w:rPr>
              <w:t xml:space="preserve">II ветровой район, W₀ = 0,30 кПа; зарегистрированный порыв 33 м/с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ТЗ п. 2.9.3–2.9.4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Снеговая нагрузка</w:t>
            </w:r>
          </w:p>
        </w:tc>
        <w:tc>
          <w:tcPr>
            <w:tcW w:w="5400" w:type="dxa"/>
          </w:tcPr>
          <w:p>
            <w:r>
              <w:rPr>
                <w:sz w:val="17"/>
              </w:rPr>
              <w:t xml:space="preserve">V снеговой район, S₀ = 3,2 кПа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ТЗ п. 2.9.3–2.9.4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Сейсмичность</w:t>
            </w:r>
          </w:p>
        </w:tc>
        <w:tc>
          <w:tcPr>
            <w:tcW w:w="5400" w:type="dxa"/>
          </w:tcPr>
          <w:p>
            <w:r>
              <w:rPr>
                <w:sz w:val="17"/>
              </w:rPr>
              <w:t xml:space="preserve">6 баллов по ОСР-2015-В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ТЗ п. 2.9.4</w:t>
            </w:r>
          </w:p>
        </w:tc>
      </w:tr>
    </w:tbl>
    <w:p>
      <w:r>
        <w:rPr>
          <w:sz w:val="20"/>
        </w:rPr>
        <w:t xml:space="preserve">Из условий площадки вытекают требования, обязательные для проекта производства работ: бетонные, футеровочные, окрасочные и герметизирующие работы при отрицательных температурах выполняются в тепляках с прогревом и контролем температуры твердения; ветровое ограничение подъёмных операций принимается по паспорту крана и снижается при подъёме крупных парусных конструкций (корпусные секции электрофильтров, царги, обечайки силосов); зарегистрированный порыв 33 м/с учитывается при назначении расчалок и временного раскрепления смонтированных, но не закреплённых окончательно конструкций; снеговая нагрузка на смонтированные горизонтальные поверхности до устройства кровли требует организованной очистки.</w:t>
      </w:r>
    </w:p>
    <w:p>
      <w:pPr>
        <w:pStyle w:val="Heading1"/>
      </w:pPr>
      <w:r>
        <w:rPr>
          <w:b/>
          <w:sz w:val="28"/>
        </w:rPr>
        <w:t xml:space="preserve">2. Ведомость тяжёлых и крупногабаритных монтажных единиц</w:t>
      </w:r>
    </w:p>
    <w:p>
      <w:r>
        <w:rPr>
          <w:sz w:val="20"/>
        </w:rPr>
        <w:t xml:space="preserve">В ведомость включены позиции, определяющие выбор грузоподъёмных механизмов, габариты монтажных проёмов и последовательность работ: наиболее тяжёлые монтажные единицы, крупногабаритные и длинномерные части, а также позиции, требующие специальных способов подачи. Массы приведены для монтажного состояния — без рабочего заполнения, футеровки по месту и съёмных элементов, если иное не оговорено в графе.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460"/>
        <w:gridCol w:w="1900"/>
        <w:gridCol w:w="1140"/>
        <w:gridCol w:w="1300"/>
        <w:gridCol w:w="1350"/>
        <w:gridCol w:w="2100"/>
        <w:gridCol w:w="1104"/>
      </w:tblGrid>
      <w:tr>
        <w:trPr>
          <w:tblHeader/>
          <w:cantSplit/>
        </w:trPr>
        <w:tc>
          <w:tcPr>
            <w:tcW w:w="460" w:type="dxa"/>
            <w:shd w:val="clear" w:fill="EFEFEF"/>
          </w:tcPr>
          <w:p>
            <w:r>
              <w:rPr>
                <w:b/>
                <w:sz w:val="15"/>
              </w:rPr>
              <w:t xml:space="preserve">Поз.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5"/>
              </w:rPr>
              <w:t xml:space="preserve">Монтажная единица</w:t>
            </w:r>
          </w:p>
        </w:tc>
        <w:tc>
          <w:tcPr>
            <w:tcW w:w="1140" w:type="dxa"/>
            <w:shd w:val="clear" w:fill="EFEFEF"/>
          </w:tcPr>
          <w:p>
            <w:r>
              <w:rPr>
                <w:b/>
                <w:sz w:val="15"/>
              </w:rPr>
              <w:t xml:space="preserve">Масса, т</w:t>
            </w:r>
          </w:p>
        </w:tc>
        <w:tc>
          <w:tcPr>
            <w:tcW w:w="1300" w:type="dxa"/>
            <w:shd w:val="clear" w:fill="EFEFEF"/>
          </w:tcPr>
          <w:p>
            <w:r>
              <w:rPr>
                <w:b/>
                <w:sz w:val="15"/>
              </w:rPr>
              <w:t xml:space="preserve">Габарит, м</w:t>
            </w:r>
          </w:p>
        </w:tc>
        <w:tc>
          <w:tcPr>
            <w:tcW w:w="1350" w:type="dxa"/>
            <w:shd w:val="clear" w:fill="EFEFEF"/>
          </w:tcPr>
          <w:p>
            <w:r>
              <w:rPr>
                <w:b/>
                <w:sz w:val="15"/>
              </w:rPr>
              <w:t xml:space="preserve">Отметка и место установки</w:t>
            </w:r>
          </w:p>
        </w:tc>
        <w:tc>
          <w:tcPr>
            <w:tcW w:w="2100" w:type="dxa"/>
            <w:shd w:val="clear" w:fill="EFEFEF"/>
          </w:tcPr>
          <w:p>
            <w:r>
              <w:rPr>
                <w:b/>
                <w:sz w:val="15"/>
              </w:rPr>
              <w:t xml:space="preserve">Механизм и способ подачи</w:t>
            </w:r>
          </w:p>
        </w:tc>
        <w:tc>
          <w:tcPr>
            <w:tcW w:w="1104" w:type="dxa"/>
            <w:shd w:val="clear" w:fill="EFEFEF"/>
          </w:tcPr>
          <w:p>
            <w:r>
              <w:rPr>
                <w:b/>
                <w:sz w:val="15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w="9354" w:type="dxa"/>
            <w:gridSpan w:val="7"/>
            <w:shd w:val="clear" w:color="auto" w:fill="F3F3F3"/>
          </w:tcPr>
          <w:p>
            <w:pPr>
              <w:keepNext/>
            </w:pPr>
            <w:r>
              <w:rPr>
                <w:b/>
                <w:sz w:val="16"/>
              </w:rPr>
              <w:t xml:space="preserve">Кристаллизация медного купороса</w:t>
            </w:r>
          </w:p>
        </w:tc>
      </w:tr>
      <w:tr>
        <w:trPr>
          <w:cantSplit/>
        </w:trPr>
        <w:tc>
          <w:tcPr>
            <w:tcW w:w="460" w:type="dxa"/>
          </w:tcPr>
          <w:p>
            <w:r>
              <w:rPr>
                <w:sz w:val="15"/>
              </w:rPr>
              <w:t xml:space="preserve">1</w:t>
            </w:r>
          </w:p>
        </w:tc>
        <w:tc>
          <w:tcPr>
            <w:tcW w:w="1900" w:type="dxa"/>
          </w:tcPr>
          <w:p>
            <w:r>
              <w:rPr>
                <w:sz w:val="15"/>
              </w:rPr>
              <w:t xml:space="preserve">Испаритель I ступени с выносным подогревателем — корпус в сборе</w:t>
            </w:r>
          </w:p>
        </w:tc>
        <w:tc>
          <w:tcPr>
            <w:tcW w:w="1140" w:type="dxa"/>
          </w:tcPr>
          <w:p>
            <w:r>
              <w:rPr>
                <w:sz w:val="15"/>
              </w:rPr>
              <w:t xml:space="preserve">8–15 без содержимого (предварительная оценка при интегральной поставке)</w:t>
            </w:r>
          </w:p>
        </w:tc>
        <w:tc>
          <w:tcPr>
            <w:tcW w:w="1300" w:type="dxa"/>
          </w:tcPr>
          <w:p>
            <w:r>
              <w:rPr>
                <w:sz w:val="15"/>
              </w:rPr>
              <w:t xml:space="preserve">Ø 2,0; высота 9–12 (оценочно); объём 34,5 м³</w:t>
            </w:r>
          </w:p>
        </w:tc>
        <w:tc>
          <w:tcPr>
            <w:tcW w:w="1350" w:type="dxa"/>
          </w:tcPr>
          <w:p>
            <w:r>
              <w:rPr>
                <w:sz w:val="15"/>
              </w:rPr>
              <w:t xml:space="preserve">От отметки около 0…+1 до +10…+12</w:t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При грузоподъёмности механизма ниже массы аппарата — укрупнительная сборка из транспортабельных частей с монтажной сваркой; иначе подача целиком мобильным краном через монтажный проём</w:t>
            </w:r>
          </w:p>
        </w:tc>
        <w:tc>
          <w:tcPr>
            <w:tcW w:w="1104" w:type="dxa"/>
          </w:tcPr>
          <w:p>
            <w:r>
              <w:rPr>
                <w:sz w:val="15"/>
              </w:rPr>
              <w:t xml:space="preserve">Расчёт КВАНТ; ИД ч.2 рис. 4.4</w:t>
            </w:r>
          </w:p>
        </w:tc>
      </w:tr>
      <w:tr>
        <w:trPr>
          <w:cantSplit/>
        </w:trPr>
        <w:tc>
          <w:tcPr>
            <w:tcW w:w="460" w:type="dxa"/>
          </w:tcPr>
          <w:p>
            <w:r>
              <w:rPr>
                <w:sz w:val="15"/>
              </w:rPr>
              <w:t xml:space="preserve">2</w:t>
            </w:r>
          </w:p>
        </w:tc>
        <w:tc>
          <w:tcPr>
            <w:tcW w:w="1900" w:type="dxa"/>
          </w:tcPr>
          <w:p>
            <w:r>
              <w:rPr>
                <w:sz w:val="15"/>
              </w:rPr>
              <w:t xml:space="preserve">Испаритель II ступени с принудительной циркуляцией</w:t>
            </w:r>
          </w:p>
        </w:tc>
        <w:tc>
          <w:tcPr>
            <w:tcW w:w="1140" w:type="dxa"/>
          </w:tcPr>
          <w:p>
            <w:r>
              <w:rPr>
                <w:sz w:val="15"/>
              </w:rPr>
              <w:t xml:space="preserve">8–15 без содержимого (унифицирован с аппаратом I ступени)</w:t>
            </w:r>
          </w:p>
        </w:tc>
        <w:tc>
          <w:tcPr>
            <w:tcW w:w="1300" w:type="dxa"/>
          </w:tcPr>
          <w:p>
            <w:r>
              <w:rPr>
                <w:sz w:val="15"/>
              </w:rPr>
              <w:t xml:space="preserve">Ø 2,0; объём 34,5 м³</w:t>
            </w:r>
          </w:p>
        </w:tc>
        <w:tc>
          <w:tcPr>
            <w:tcW w:w="1350" w:type="dxa"/>
          </w:tcPr>
          <w:p>
            <w:r>
              <w:rPr>
                <w:sz w:val="15"/>
              </w:rPr>
              <w:t xml:space="preserve">Этажерка II ступеней, низ конуса около +8…+9</w:t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Установка на этажерку после её монтажа и приёмки; подача — тем же способом, что и аппарат I ступени</w:t>
            </w:r>
          </w:p>
        </w:tc>
        <w:tc>
          <w:tcPr>
            <w:tcW w:w="1104" w:type="dxa"/>
          </w:tcPr>
          <w:p>
            <w:r>
              <w:rPr>
                <w:sz w:val="15"/>
              </w:rPr>
              <w:t xml:space="preserve">Расчёт КВАНТ; ИД ч.2 рис. 4.4</w:t>
            </w:r>
          </w:p>
        </w:tc>
      </w:tr>
      <w:tr>
        <w:trPr>
          <w:cantSplit/>
        </w:trPr>
        <w:tc>
          <w:tcPr>
            <w:tcW w:w="460" w:type="dxa"/>
          </w:tcPr>
          <w:p>
            <w:r>
              <w:rPr>
                <w:sz w:val="15"/>
              </w:rPr>
              <w:t xml:space="preserve">3</w:t>
            </w:r>
          </w:p>
        </w:tc>
        <w:tc>
          <w:tcPr>
            <w:tcW w:w="1900" w:type="dxa"/>
          </w:tcPr>
          <w:p>
            <w:r>
              <w:rPr>
                <w:sz w:val="15"/>
              </w:rPr>
              <w:t xml:space="preserve">Выносной подогреватель, поверхность 63 м²</w:t>
            </w:r>
          </w:p>
        </w:tc>
        <w:tc>
          <w:tcPr>
            <w:tcW w:w="1140" w:type="dxa"/>
          </w:tcPr>
          <w:p>
            <w:r>
              <w:rPr>
                <w:sz w:val="15"/>
              </w:rPr>
              <w:t xml:space="preserve">По ТКП изготовителя</w:t>
            </w:r>
          </w:p>
        </w:tc>
        <w:tc>
          <w:tcPr>
            <w:tcW w:w="1300" w:type="dxa"/>
          </w:tcPr>
          <w:p>
            <w:r>
              <w:rPr>
                <w:sz w:val="15"/>
              </w:rPr>
              <w:t xml:space="preserve">По ТКП изготовителя</w:t>
            </w:r>
          </w:p>
        </w:tc>
        <w:tc>
          <w:tcPr>
            <w:tcW w:w="1350" w:type="dxa"/>
          </w:tcPr>
          <w:p>
            <w:r>
              <w:rPr>
                <w:sz w:val="15"/>
              </w:rPr>
              <w:t xml:space="preserve">У корпуса испарителя I ступени</w:t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Отдельная транспортная единица; подача и стыковка с корпусом на месте, монтажные швы по аттестованной технологии</w:t>
            </w:r>
          </w:p>
        </w:tc>
        <w:tc>
          <w:tcPr>
            <w:tcW w:w="1104" w:type="dxa"/>
          </w:tcPr>
          <w:p>
            <w:r>
              <w:rPr>
                <w:sz w:val="15"/>
              </w:rPr>
              <w:t xml:space="preserve">ИД ч.2 рис. 4.4</w:t>
            </w:r>
          </w:p>
        </w:tc>
      </w:tr>
      <w:tr>
        <w:trPr>
          <w:cantSplit/>
        </w:trPr>
        <w:tc>
          <w:tcPr>
            <w:tcW w:w="460" w:type="dxa"/>
          </w:tcPr>
          <w:p>
            <w:r>
              <w:rPr>
                <w:sz w:val="15"/>
              </w:rPr>
              <w:t xml:space="preserve">4</w:t>
            </w:r>
          </w:p>
        </w:tc>
        <w:tc>
          <w:tcPr>
            <w:tcW w:w="1900" w:type="dxa"/>
          </w:tcPr>
          <w:p>
            <w:r>
              <w:rPr>
                <w:sz w:val="15"/>
              </w:rPr>
              <w:t xml:space="preserve">Барометрический конденсатор нитки медного купороса</w:t>
            </w:r>
          </w:p>
        </w:tc>
        <w:tc>
          <w:tcPr>
            <w:tcW w:w="1140" w:type="dxa"/>
          </w:tcPr>
          <w:p>
            <w:r>
              <w:rPr>
                <w:sz w:val="15"/>
              </w:rPr>
              <w:t xml:space="preserve">По ТКП изготовителя</w:t>
            </w:r>
          </w:p>
        </w:tc>
        <w:tc>
          <w:tcPr>
            <w:tcW w:w="1300" w:type="dxa"/>
          </w:tcPr>
          <w:p>
            <w:r>
              <w:rPr>
                <w:sz w:val="15"/>
              </w:rPr>
              <w:t xml:space="preserve">Ø 2,0; высота корпуса 2,0–2,5</w:t>
            </w:r>
          </w:p>
        </w:tc>
        <w:tc>
          <w:tcPr>
            <w:tcW w:w="1350" w:type="dxa"/>
          </w:tcPr>
          <w:p>
            <w:r>
              <w:rPr>
                <w:sz w:val="15"/>
              </w:rPr>
              <w:t xml:space="preserve">Верх +11,0…+11,5</w:t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Подъём и установка на опоры у колонн вне зоны прохода кранов; до закрытия зоны кровли либо через монтажный проём</w:t>
            </w:r>
          </w:p>
        </w:tc>
        <w:tc>
          <w:tcPr>
            <w:tcW w:w="1104" w:type="dxa"/>
          </w:tcPr>
          <w:p>
            <w:r>
              <w:rPr>
                <w:sz w:val="15"/>
              </w:rPr>
              <w:t xml:space="preserve">Расчёт КВАНТ; ИД ч.2 рис. 4.4</w:t>
            </w:r>
          </w:p>
        </w:tc>
      </w:tr>
      <w:tr>
        <w:trPr>
          <w:cantSplit/>
        </w:trPr>
        <w:tc>
          <w:tcPr>
            <w:tcW w:w="460" w:type="dxa"/>
          </w:tcPr>
          <w:p>
            <w:r>
              <w:rPr>
                <w:sz w:val="15"/>
              </w:rPr>
              <w:t xml:space="preserve">5</w:t>
            </w:r>
          </w:p>
        </w:tc>
        <w:tc>
          <w:tcPr>
            <w:tcW w:w="1900" w:type="dxa"/>
          </w:tcPr>
          <w:p>
            <w:r>
              <w:rPr>
                <w:sz w:val="15"/>
              </w:rPr>
              <w:t xml:space="preserve">Барометрическая труба (стояк) с гидрозатвором, Ду 350–400</w:t>
            </w:r>
          </w:p>
        </w:tc>
        <w:tc>
          <w:tcPr>
            <w:tcW w:w="1140" w:type="dxa"/>
          </w:tcPr>
          <w:p>
            <w:r>
              <w:rPr>
                <w:sz w:val="15"/>
              </w:rPr>
              <w:t xml:space="preserve">По ТКП изготовителя</w:t>
            </w:r>
          </w:p>
        </w:tc>
        <w:tc>
          <w:tcPr>
            <w:tcW w:w="1300" w:type="dxa"/>
          </w:tcPr>
          <w:p>
            <w:r>
              <w:rPr>
                <w:sz w:val="15"/>
              </w:rPr>
              <w:t xml:space="preserve">Длина 10,5; Ду 350–400</w:t>
            </w:r>
          </w:p>
        </w:tc>
        <w:tc>
          <w:tcPr>
            <w:tcW w:w="1350" w:type="dxa"/>
          </w:tcPr>
          <w:p>
            <w:r>
              <w:rPr>
                <w:sz w:val="15"/>
              </w:rPr>
              <w:t xml:space="preserve">Стояк у колонн; гидрозатвор в приямке глубиной 2,0–2,5 м, уровень воды −1,5…−2,0</w:t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Монтаж секциями с монтажными стыками; обязательная выверка вертикальности по всей длине; приямок выполняется до подачи стояка</w:t>
            </w:r>
          </w:p>
        </w:tc>
        <w:tc>
          <w:tcPr>
            <w:tcW w:w="1104" w:type="dxa"/>
          </w:tcPr>
          <w:p>
            <w:r>
              <w:rPr>
                <w:sz w:val="15"/>
              </w:rPr>
              <w:t xml:space="preserve">Расчёт КВАНТ; ИД ч.2 рис. 4.4</w:t>
            </w:r>
          </w:p>
        </w:tc>
      </w:tr>
      <w:tr>
        <w:trPr>
          <w:cantSplit/>
        </w:trPr>
        <w:tc>
          <w:tcPr>
            <w:tcW w:w="460" w:type="dxa"/>
          </w:tcPr>
          <w:p>
            <w:r>
              <w:rPr>
                <w:sz w:val="15"/>
              </w:rPr>
              <w:t xml:space="preserve">6</w:t>
            </w:r>
          </w:p>
        </w:tc>
        <w:tc>
          <w:tcPr>
            <w:tcW w:w="1900" w:type="dxa"/>
          </w:tcPr>
          <w:p>
            <w:r>
              <w:rPr>
                <w:sz w:val="15"/>
              </w:rPr>
              <w:t xml:space="preserve">Солевая колонна испарителя II ступени</w:t>
            </w:r>
          </w:p>
        </w:tc>
        <w:tc>
          <w:tcPr>
            <w:tcW w:w="1140" w:type="dxa"/>
          </w:tcPr>
          <w:p>
            <w:r>
              <w:rPr>
                <w:sz w:val="15"/>
              </w:rPr>
              <w:t xml:space="preserve">По ТКП изготовителя</w:t>
            </w:r>
          </w:p>
        </w:tc>
        <w:tc>
          <w:tcPr>
            <w:tcW w:w="1300" w:type="dxa"/>
          </w:tcPr>
          <w:p>
            <w:r>
              <w:rPr>
                <w:sz w:val="15"/>
              </w:rPr>
              <w:t xml:space="preserve">Столб пульпы 7,0–7,9</w:t>
            </w:r>
          </w:p>
        </w:tc>
        <w:tc>
          <w:tcPr>
            <w:tcW w:w="1350" w:type="dxa"/>
          </w:tcPr>
          <w:p>
            <w:r>
              <w:rPr>
                <w:sz w:val="15"/>
              </w:rPr>
              <w:t xml:space="preserve">Под испарителем II ступени</w:t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Монтаж секциями с монтажными стыками; выверка вертикальности обязательна</w:t>
            </w:r>
          </w:p>
        </w:tc>
        <w:tc>
          <w:tcPr>
            <w:tcW w:w="1104" w:type="dxa"/>
          </w:tcPr>
          <w:p>
            <w:r>
              <w:rPr>
                <w:sz w:val="15"/>
              </w:rPr>
              <w:t xml:space="preserve">Расчёт КВАНТ; ИД ч.2 рис. 4.4</w:t>
            </w:r>
          </w:p>
        </w:tc>
      </w:tr>
      <w:tr>
        <w:trPr>
          <w:cantSplit/>
        </w:trPr>
        <w:tc>
          <w:tcPr>
            <w:tcW w:w="9354" w:type="dxa"/>
            <w:gridSpan w:val="7"/>
            <w:shd w:val="clear" w:color="auto" w:fill="F3F3F3"/>
          </w:tcPr>
          <w:p>
            <w:pPr>
              <w:keepNext/>
            </w:pPr>
            <w:r>
              <w:rPr>
                <w:b/>
                <w:sz w:val="16"/>
              </w:rPr>
              <w:t xml:space="preserve">Кристаллизация смешанного купороса</w:t>
            </w:r>
          </w:p>
        </w:tc>
      </w:tr>
      <w:tr>
        <w:trPr>
          <w:cantSplit/>
        </w:trPr>
        <w:tc>
          <w:tcPr>
            <w:tcW w:w="460" w:type="dxa"/>
          </w:tcPr>
          <w:p>
            <w:r>
              <w:rPr>
                <w:sz w:val="15"/>
              </w:rPr>
              <w:t xml:space="preserve">7</w:t>
            </w:r>
          </w:p>
        </w:tc>
        <w:tc>
          <w:tcPr>
            <w:tcW w:w="1900" w:type="dxa"/>
          </w:tcPr>
          <w:p>
            <w:r>
              <w:rPr>
                <w:sz w:val="15"/>
              </w:rPr>
              <w:t xml:space="preserve">Испарители I и II ступеней нитки смешанного купороса</w:t>
            </w:r>
          </w:p>
        </w:tc>
        <w:tc>
          <w:tcPr>
            <w:tcW w:w="1140" w:type="dxa"/>
          </w:tcPr>
          <w:p>
            <w:r>
              <w:rPr>
                <w:sz w:val="15"/>
              </w:rPr>
              <w:t xml:space="preserve">По ТКП изготовителя; ниже аппаратов нитки медного купороса</w:t>
            </w:r>
          </w:p>
        </w:tc>
        <w:tc>
          <w:tcPr>
            <w:tcW w:w="1300" w:type="dxa"/>
          </w:tcPr>
          <w:p>
            <w:r>
              <w:rPr>
                <w:sz w:val="15"/>
              </w:rPr>
              <w:t xml:space="preserve">Ø 1,3; объём 8,9 м³</w:t>
            </w:r>
          </w:p>
        </w:tc>
        <w:tc>
          <w:tcPr>
            <w:tcW w:w="1350" w:type="dxa"/>
          </w:tcPr>
          <w:p>
            <w:r>
              <w:rPr>
                <w:sz w:val="15"/>
              </w:rPr>
              <w:t xml:space="preserve">I ступень — на постаменте; II ступень — этажерка +8…+9</w:t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Подъём в пределах грузоподъёмности существующих кранов подтверждается после получения масс изготовителя</w:t>
            </w:r>
          </w:p>
        </w:tc>
        <w:tc>
          <w:tcPr>
            <w:tcW w:w="1104" w:type="dxa"/>
          </w:tcPr>
          <w:p>
            <w:r>
              <w:rPr>
                <w:sz w:val="15"/>
              </w:rPr>
              <w:t xml:space="preserve">Расчёт КВАНТ; ИД ч.2 рис. 4.5</w:t>
            </w:r>
          </w:p>
        </w:tc>
      </w:tr>
      <w:tr>
        <w:trPr>
          <w:cantSplit/>
        </w:trPr>
        <w:tc>
          <w:tcPr>
            <w:tcW w:w="460" w:type="dxa"/>
          </w:tcPr>
          <w:p>
            <w:r>
              <w:rPr>
                <w:sz w:val="15"/>
              </w:rPr>
              <w:t xml:space="preserve">8</w:t>
            </w:r>
          </w:p>
        </w:tc>
        <w:tc>
          <w:tcPr>
            <w:tcW w:w="1900" w:type="dxa"/>
          </w:tcPr>
          <w:p>
            <w:r>
              <w:rPr>
                <w:sz w:val="15"/>
              </w:rPr>
              <w:t xml:space="preserve">Бак маточника 2, 16 м³</w:t>
            </w:r>
          </w:p>
        </w:tc>
        <w:tc>
          <w:tcPr>
            <w:tcW w:w="1140" w:type="dxa"/>
          </w:tcPr>
          <w:p>
            <w:r>
              <w:rPr>
                <w:sz w:val="15"/>
              </w:rPr>
              <w:t xml:space="preserve">По ТКП изготовителя</w:t>
            </w:r>
          </w:p>
        </w:tc>
        <w:tc>
          <w:tcPr>
            <w:tcW w:w="1300" w:type="dxa"/>
          </w:tcPr>
          <w:p>
            <w:r>
              <w:rPr>
                <w:sz w:val="15"/>
              </w:rPr>
              <w:t xml:space="preserve">Объём 16,0 м³</w:t>
            </w:r>
          </w:p>
        </w:tc>
        <w:tc>
          <w:tcPr>
            <w:tcW w:w="1350" w:type="dxa"/>
          </w:tcPr>
          <w:p>
            <w:r>
              <w:rPr>
                <w:sz w:val="15"/>
              </w:rPr>
              <w:t xml:space="preserve">Отметка 0,000, в поддоне</w:t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Монтаж цеховыми средствами на плиту пола в поддоне</w:t>
            </w:r>
          </w:p>
        </w:tc>
        <w:tc>
          <w:tcPr>
            <w:tcW w:w="1104" w:type="dxa"/>
          </w:tcPr>
          <w:p>
            <w:r>
              <w:rPr>
                <w:sz w:val="15"/>
              </w:rPr>
              <w:t xml:space="preserve">ИД ч.2 рис. 4.5</w:t>
            </w:r>
          </w:p>
        </w:tc>
      </w:tr>
      <w:tr>
        <w:trPr>
          <w:cantSplit/>
        </w:trPr>
        <w:tc>
          <w:tcPr>
            <w:tcW w:w="9354" w:type="dxa"/>
            <w:gridSpan w:val="7"/>
            <w:shd w:val="clear" w:color="auto" w:fill="F3F3F3"/>
          </w:tcPr>
          <w:p>
            <w:pPr>
              <w:keepNext/>
            </w:pPr>
            <w:r>
              <w:rPr>
                <w:b/>
                <w:sz w:val="16"/>
              </w:rPr>
              <w:t xml:space="preserve">Растворение купороса</w:t>
            </w:r>
          </w:p>
        </w:tc>
      </w:tr>
      <w:tr>
        <w:trPr>
          <w:cantSplit/>
        </w:trPr>
        <w:tc>
          <w:tcPr>
            <w:tcW w:w="460" w:type="dxa"/>
          </w:tcPr>
          <w:p>
            <w:r>
              <w:rPr>
                <w:sz w:val="15"/>
              </w:rPr>
              <w:t xml:space="preserve">9</w:t>
            </w:r>
          </w:p>
        </w:tc>
        <w:tc>
          <w:tcPr>
            <w:tcW w:w="1900" w:type="dxa"/>
          </w:tcPr>
          <w:p>
            <w:r>
              <w:rPr>
                <w:sz w:val="15"/>
              </w:rPr>
              <w:t xml:space="preserve">Репульпаторы растворения купороса, 2 × 8 м³</w:t>
            </w:r>
          </w:p>
        </w:tc>
        <w:tc>
          <w:tcPr>
            <w:tcW w:w="1140" w:type="dxa"/>
          </w:tcPr>
          <w:p>
            <w:r>
              <w:rPr>
                <w:sz w:val="15"/>
              </w:rPr>
              <w:t xml:space="preserve">По ТКП изготовителя</w:t>
            </w:r>
          </w:p>
        </w:tc>
        <w:tc>
          <w:tcPr>
            <w:tcW w:w="1300" w:type="dxa"/>
          </w:tcPr>
          <w:p>
            <w:r>
              <w:rPr>
                <w:sz w:val="15"/>
              </w:rPr>
              <w:t xml:space="preserve">Объём 8,0 м³ каждый</w:t>
            </w:r>
          </w:p>
        </w:tc>
        <w:tc>
          <w:tcPr>
            <w:tcW w:w="1350" w:type="dxa"/>
          </w:tcPr>
          <w:p>
            <w:r>
              <w:rPr>
                <w:sz w:val="15"/>
              </w:rPr>
              <w:t xml:space="preserve">Отметка 0,000, два последовательных аппарата в поддоне</w:t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Монтаж цеховыми средствами; привод мешалки — отдельной транспортной единицей</w:t>
            </w:r>
          </w:p>
        </w:tc>
        <w:tc>
          <w:tcPr>
            <w:tcW w:w="1104" w:type="dxa"/>
          </w:tcPr>
          <w:p>
            <w:r>
              <w:rPr>
                <w:sz w:val="15"/>
              </w:rPr>
              <w:t xml:space="preserve">ИД ч.2 рис. 4.4</w:t>
            </w:r>
          </w:p>
        </w:tc>
      </w:tr>
      <w:tr>
        <w:trPr>
          <w:cantSplit/>
        </w:trPr>
        <w:tc>
          <w:tcPr>
            <w:tcW w:w="9354" w:type="dxa"/>
            <w:gridSpan w:val="7"/>
            <w:shd w:val="clear" w:color="auto" w:fill="F3F3F3"/>
          </w:tcPr>
          <w:p>
            <w:pPr>
              <w:keepNext/>
            </w:pPr>
            <w:r>
              <w:rPr>
                <w:b/>
                <w:sz w:val="16"/>
              </w:rPr>
              <w:t xml:space="preserve">Кристаллизация</w:t>
            </w:r>
          </w:p>
        </w:tc>
      </w:tr>
      <w:tr>
        <w:trPr>
          <w:cantSplit/>
        </w:trPr>
        <w:tc>
          <w:tcPr>
            <w:tcW w:w="460" w:type="dxa"/>
          </w:tcPr>
          <w:p>
            <w:r>
              <w:rPr>
                <w:sz w:val="15"/>
              </w:rPr>
              <w:t xml:space="preserve">10</w:t>
            </w:r>
          </w:p>
        </w:tc>
        <w:tc>
          <w:tcPr>
            <w:tcW w:w="1900" w:type="dxa"/>
          </w:tcPr>
          <w:p>
            <w:r>
              <w:rPr>
                <w:sz w:val="15"/>
              </w:rPr>
              <w:t xml:space="preserve">Пульсирующие фильтрующие центрифуги (4 шт.)</w:t>
            </w:r>
          </w:p>
        </w:tc>
        <w:tc>
          <w:tcPr>
            <w:tcW w:w="1140" w:type="dxa"/>
          </w:tcPr>
          <w:p>
            <w:r>
              <w:rPr>
                <w:sz w:val="15"/>
              </w:rPr>
              <w:t xml:space="preserve">По ТКП изготовителя</w:t>
            </w:r>
          </w:p>
        </w:tc>
        <w:tc>
          <w:tcPr>
            <w:tcW w:w="1300" w:type="dxa"/>
          </w:tcPr>
          <w:p>
            <w:r>
              <w:rPr>
                <w:sz w:val="15"/>
              </w:rPr>
              <w:t xml:space="preserve">По ТКП изготовителя</w:t>
            </w:r>
          </w:p>
        </w:tc>
        <w:tc>
          <w:tcPr>
            <w:tcW w:w="1350" w:type="dxa"/>
          </w:tcPr>
          <w:p>
            <w:r>
              <w:rPr>
                <w:sz w:val="15"/>
              </w:rPr>
              <w:t xml:space="preserve">Отметка 0,000, индивидуальные виброизолированные фундаменты</w:t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Монтаж после набора прочности фундаментов; выверка и подливка по инструкции изготовителя, протокол вибрации при обкатке</w:t>
            </w:r>
          </w:p>
        </w:tc>
        <w:tc>
          <w:tcPr>
            <w:tcW w:w="1104" w:type="dxa"/>
          </w:tcPr>
          <w:p>
            <w:r>
              <w:rPr>
                <w:sz w:val="15"/>
              </w:rPr>
              <w:t xml:space="preserve">ИД ч.2 рис. 4.4 и 4.5</w:t>
            </w:r>
          </w:p>
        </w:tc>
      </w:tr>
      <w:tr>
        <w:trPr>
          <w:cantSplit/>
        </w:trPr>
        <w:tc>
          <w:tcPr>
            <w:tcW w:w="460" w:type="dxa"/>
          </w:tcPr>
          <w:p>
            <w:r>
              <w:rPr>
                <w:sz w:val="15"/>
              </w:rPr>
              <w:t xml:space="preserve">11</w:t>
            </w:r>
          </w:p>
        </w:tc>
        <w:tc>
          <w:tcPr>
            <w:tcW w:w="1900" w:type="dxa"/>
          </w:tcPr>
          <w:p>
            <w:r>
              <w:rPr>
                <w:sz w:val="15"/>
              </w:rPr>
              <w:t xml:space="preserve">Пароэжекторный блок с вакуум-насосом (по одному на нитку)</w:t>
            </w:r>
          </w:p>
        </w:tc>
        <w:tc>
          <w:tcPr>
            <w:tcW w:w="1140" w:type="dxa"/>
          </w:tcPr>
          <w:p>
            <w:r>
              <w:rPr>
                <w:sz w:val="15"/>
              </w:rPr>
              <w:t xml:space="preserve">По ТКП изготовителя</w:t>
            </w:r>
          </w:p>
        </w:tc>
        <w:tc>
          <w:tcPr>
            <w:tcW w:w="1300" w:type="dxa"/>
          </w:tcPr>
          <w:p>
            <w:r>
              <w:rPr>
                <w:sz w:val="15"/>
              </w:rPr>
              <w:t xml:space="preserve">По ТКП изготовителя</w:t>
            </w:r>
          </w:p>
        </w:tc>
        <w:tc>
          <w:tcPr>
            <w:tcW w:w="1350" w:type="dxa"/>
          </w:tcPr>
          <w:p>
            <w:r>
              <w:rPr>
                <w:sz w:val="15"/>
              </w:rPr>
              <w:t xml:space="preserve">Отметка 0,000, рама у конденсаторного узла нитки</w:t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Монтаж цеховыми средствами на виброизолированную раму</w:t>
            </w:r>
          </w:p>
        </w:tc>
        <w:tc>
          <w:tcPr>
            <w:tcW w:w="1104" w:type="dxa"/>
          </w:tcPr>
          <w:p>
            <w:r>
              <w:rPr>
                <w:sz w:val="15"/>
              </w:rPr>
              <w:t xml:space="preserve">ИД ч.2 рис. 4.4 и 4.5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2.1 Примечания к ведомости</w:t>
      </w:r>
    </w:p>
    <w:p>
      <w:r>
        <w:rPr>
          <w:sz w:val="20"/>
        </w:rPr>
        <w:t xml:space="preserve">1. Массы аппаратов в исполнении из стали 904L приведены ориентировочно для интегральной поставки и уточняются по опросным листам изготовителей: корпуса, выносной подогреватель 63 м² и конденсаторы поставляются разными комплектами.</w:t>
      </w:r>
    </w:p>
    <w:p>
      <w:r>
        <w:rPr>
          <w:sz w:val="20"/>
        </w:rPr>
        <w:t xml:space="preserve">2. Наибольшая эксплуатационная масса участка — заполненный испаритель нитки медного купороса: около 45 т содержимого при объёме 34,5 м³ и плотности пульпы 1,3 т/м³. Эта масса не является монтажной: заполнение выполняется только после установки аппарата на штатные опоры, монтажная оснастка на неё не рассчитывается.</w:t>
      </w:r>
    </w:p>
    <w:p>
      <w:r>
        <w:rPr>
          <w:sz w:val="20"/>
        </w:rPr>
        <w:t xml:space="preserve">3. Полный налив испарителя водой при гидравлическом испытании даёт 34,5 т, что ниже расчётного рабочего заполнения пульпой около 45 т: испытательный случай перекрыт рабочим расчётом фундаментов и отдельного усиления конструкций не требует.</w:t>
      </w:r>
    </w:p>
    <w:p>
      <w:r>
        <w:rPr>
          <w:sz w:val="20"/>
        </w:rPr>
        <w:t xml:space="preserve">4. Наружный диаметр аппаратов 2,0 м вписывается в габарит автомобильной перевозки без специального разрешения (ширина до 2,55 м). Длина транспортных секций согласуется с изготовителем при размещении заказа.</w:t>
      </w:r>
    </w:p>
    <w:p>
      <w:pPr>
        <w:pStyle w:val="Heading1"/>
      </w:pPr>
      <w:r>
        <w:rPr>
          <w:b/>
          <w:sz w:val="28"/>
        </w:rPr>
        <w:t xml:space="preserve">3. Доставка на площадку и транспортабельность</w:t>
      </w:r>
    </w:p>
    <w:p>
      <w:r>
        <w:rPr>
          <w:sz w:val="20"/>
        </w:rPr>
        <w:t xml:space="preserve">Диаметр аппаратов 2,0 м вписывается в габарит автомобильной перевозки без специального разрешения; ограничивающим параметром является длина транспортной секции, которая согласуется с изготовителем. Барометрические трубы длиной около 10,5 м и солевые колонны со столбом пульпы 7,0–7,9 м поставляются секциями с монтажными стыками.</w:t>
      </w:r>
    </w:p>
    <w:p>
      <w:r>
        <w:rPr>
          <w:sz w:val="20"/>
        </w:rPr>
        <w:t xml:space="preserve">Если по результатам обследования габариты существующих проёмов и ворот не позволяют завести аппарат целиком, применяется поставка транспортабельными частями массой не более грузоподъёмности существующих кранов (5 и 7,5 т) с последующей укрупнительной сборкой и монтажной сваркой на площадке. Требование к делению на транспортабельные части и расположению монтажных стыков включается в опросные листы до запроса технических предложений.</w:t>
      </w:r>
    </w:p>
    <w:p>
      <w:r>
        <w:rPr>
          <w:sz w:val="20"/>
        </w:rPr>
        <w:t xml:space="preserve">Оборудование в исполнении из стали 904L транспортируется и хранится с исключением контакта с углеродистой сталью: раздельные подкладки и стропы, защита кромок и патрубков, консервация внутренних полостей. Приёмка на площадке включает проверку сохранности консервации и маркировки материала.</w:t>
      </w:r>
    </w:p>
    <w:p>
      <w:r>
        <w:rPr>
          <w:sz w:val="20"/>
        </w:rPr>
        <w:t xml:space="preserve">Приёмка оборудования на площадке выполняется с проверкой комплектности по отгрузочным документам, сохранности упаковки и консервации, наличия паспортов, сертификатов и деклараций соответствия. Условия и сроки хранения до монтажа принимаются по инструкции изготовителя; порядок расконсервации перед монтажом оформляется актом.</w:t>
      </w:r>
    </w:p>
    <w:p>
      <w:pPr>
        <w:pStyle w:val="Heading1"/>
      </w:pPr>
      <w:r>
        <w:rPr>
          <w:b/>
          <w:sz w:val="28"/>
        </w:rPr>
        <w:t xml:space="preserve">4. Монтажные проёмы и пути подачи оборудования</w:t>
      </w:r>
    </w:p>
    <w:p>
      <w:r>
        <w:rPr>
          <w:sz w:val="20"/>
        </w:rPr>
        <w:t xml:space="preserve">В резервном сценарии размещения в существующем здании пути подачи ограничены существующими воротами и монтажными проёмами. Их фактические габариты, отметки и несущая способность перекрытий на маршруте подачи определяются обмерным обследованием, которое включается в первый этап Базового инжиниринга. До получения результатов обследования способ заводки крупногабарита остаётся открытой позицией.</w:t>
      </w:r>
    </w:p>
    <w:p>
      <w:r>
        <w:rPr>
          <w:sz w:val="20"/>
        </w:rPr>
        <w:t xml:space="preserve">Рассматриваются три пути подачи: через существующие ворота на нулевой отметке с перемещением по полу пролёта; через монтажный проём в покрытии мобильным краном; поэлементная подача транспортабельных частей с укрупнительной сборкой в зоне монтажа. Выбор фиксируется после обследования и получения масс изготовителей.</w:t>
      </w:r>
    </w:p>
    <w:p>
      <w:r>
        <w:rPr>
          <w:sz w:val="20"/>
        </w:rPr>
        <w:t xml:space="preserve">В базовом сценарии нового корпуса монтажная зона закладывается в компоновку: свободный пролёт от ворот до места установки аппаратов, отсутствие постоянных конструкций над трассой подачи и грузоподъёмность кранового оборудования не ниже массы наибольшей неделимой части.</w:t>
      </w:r>
    </w:p>
    <w:p>
      <w:r>
        <w:rPr>
          <w:sz w:val="20"/>
        </w:rPr>
        <w:t xml:space="preserve">Приямки гидрозатворов глубиной 2,0–2,5 м и виброизолированные фундаменты центрифуг выполняются до подачи крупногабарита в пролёт: после установки аппаратов доступ к зонам земляных и бетонных работ закрывается.</w:t>
      </w:r>
    </w:p>
    <w:p>
      <w:r>
        <w:rPr>
          <w:sz w:val="20"/>
        </w:rPr>
        <w:t xml:space="preserve">Габариты монтажных проёмов назначаются по наибольшей монтажной единице с запасом на строповку, наклон и разворот груза. Проёмы и пути подачи наносятся на планы и разрезы компоновочных решений лота; конструкции, закрывающие проёмы, выполняются съёмными, если проём используется при последующих ремонтах.</w:t>
      </w:r>
    </w:p>
    <w:p>
      <w:pPr>
        <w:pStyle w:val="Heading1"/>
      </w:pPr>
      <w:r>
        <w:rPr>
          <w:b/>
          <w:sz w:val="28"/>
        </w:rPr>
        <w:t xml:space="preserve">5. Последовательность крупноблочного монтажа</w:t>
      </w:r>
    </w:p>
    <w:p>
      <w:r>
        <w:rPr>
          <w:sz w:val="20"/>
        </w:rPr>
        <w:t xml:space="preserve">Последовательность приведена как требование Базового инжиниринга к организации работ. Календарные сроки, совмещение этапов и потребность в ресурсах определяются проектом производства работ; переход к следующему этапу допускается после выполнения условия, указанного в таблице.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60"/>
        <w:gridCol w:w="3800"/>
        <w:gridCol w:w="2900"/>
        <w:gridCol w:w="2094"/>
      </w:tblGrid>
      <w:tr>
        <w:trPr>
          <w:tblHeader/>
          <w:cantSplit/>
        </w:trPr>
        <w:tc>
          <w:tcPr>
            <w:tcW w:w="560" w:type="dxa"/>
            <w:shd w:val="clear" w:fill="EFEFEF"/>
          </w:tcPr>
          <w:p>
            <w:r>
              <w:rPr>
                <w:b/>
                <w:sz w:val="15"/>
              </w:rPr>
              <w:t xml:space="preserve">Этап</w:t>
            </w:r>
          </w:p>
        </w:tc>
        <w:tc>
          <w:tcPr>
            <w:tcW w:w="3800" w:type="dxa"/>
            <w:shd w:val="clear" w:fill="EFEFEF"/>
          </w:tcPr>
          <w:p>
            <w:r>
              <w:rPr>
                <w:b/>
                <w:sz w:val="15"/>
              </w:rPr>
              <w:t xml:space="preserve">Состав работ</w:t>
            </w:r>
          </w:p>
        </w:tc>
        <w:tc>
          <w:tcPr>
            <w:tcW w:w="2900" w:type="dxa"/>
            <w:shd w:val="clear" w:fill="EFEFEF"/>
          </w:tcPr>
          <w:p>
            <w:r>
              <w:rPr>
                <w:b/>
                <w:sz w:val="15"/>
              </w:rPr>
              <w:t xml:space="preserve">Условие начала и завершения</w:t>
            </w:r>
          </w:p>
        </w:tc>
        <w:tc>
          <w:tcPr>
            <w:tcW w:w="2094" w:type="dxa"/>
            <w:shd w:val="clear" w:fill="EFEFEF"/>
          </w:tcPr>
          <w:p>
            <w:r>
              <w:rPr>
                <w:b/>
                <w:sz w:val="15"/>
              </w:rPr>
              <w:t xml:space="preserve">Механизмы</w:t>
            </w:r>
          </w:p>
        </w:tc>
      </w:tr>
      <w:tr>
        <w:trPr>
          <w:cantSplit/>
        </w:trPr>
        <w:tc>
          <w:tcPr>
            <w:tcW w:w="56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3800" w:type="dxa"/>
          </w:tcPr>
          <w:p>
            <w:r>
              <w:rPr>
                <w:sz w:val="16"/>
              </w:rPr>
              <w:t xml:space="preserve">Обмерное обследование существующих конструкций, проёмов и ворот, поверочные расчёты перекрытий и ростверков (резервный сценарий); готовность корпуса (базовый сценарий)</w:t>
            </w:r>
          </w:p>
        </w:tc>
        <w:tc>
          <w:tcPr>
            <w:tcW w:w="2900" w:type="dxa"/>
          </w:tcPr>
          <w:p>
            <w:r>
              <w:rPr>
                <w:sz w:val="16"/>
              </w:rPr>
              <w:t xml:space="preserve">Начало — первый этап Базового инжиниринга; завершение — заключение о допустимости нагрузок и о способе заводки крупногабарита</w:t>
            </w:r>
          </w:p>
        </w:tc>
        <w:tc>
          <w:tcPr>
            <w:tcW w:w="2094" w:type="dxa"/>
          </w:tcPr>
          <w:p>
            <w:r>
              <w:rPr>
                <w:sz w:val="16"/>
              </w:rPr>
              <w:t xml:space="preserve">Средства обследования</w:t>
            </w:r>
          </w:p>
        </w:tc>
      </w:tr>
      <w:tr>
        <w:trPr>
          <w:cantSplit/>
        </w:trPr>
        <w:tc>
          <w:tcPr>
            <w:tcW w:w="560" w:type="dxa"/>
          </w:tcPr>
          <w:p>
            <w:r>
              <w:rPr>
                <w:sz w:val="16"/>
              </w:rPr>
              <w:t xml:space="preserve">2</w:t>
            </w:r>
          </w:p>
        </w:tc>
        <w:tc>
          <w:tcPr>
            <w:tcW w:w="3800" w:type="dxa"/>
          </w:tcPr>
          <w:p>
            <w:r>
              <w:rPr>
                <w:sz w:val="16"/>
              </w:rPr>
              <w:t xml:space="preserve">Устройство приямков гидрозатворов глубиной 2,0–2,5 м с кислотостойкой отделкой, виброизолированных фундаментов центрифуг, поддонов и трапов</w:t>
            </w:r>
          </w:p>
        </w:tc>
        <w:tc>
          <w:tcPr>
            <w:tcW w:w="2900" w:type="dxa"/>
          </w:tcPr>
          <w:p>
            <w:r>
              <w:rPr>
                <w:sz w:val="16"/>
              </w:rPr>
              <w:t xml:space="preserve">Начало — после заключения обследования; завершение — набор прочности бетона и приёмка гидроизоляции</w:t>
            </w:r>
          </w:p>
        </w:tc>
        <w:tc>
          <w:tcPr>
            <w:tcW w:w="2094" w:type="dxa"/>
          </w:tcPr>
          <w:p>
            <w:r>
              <w:rPr>
                <w:sz w:val="16"/>
              </w:rPr>
              <w:t xml:space="preserve">Средства строительной части</w:t>
            </w:r>
          </w:p>
        </w:tc>
      </w:tr>
      <w:tr>
        <w:trPr>
          <w:cantSplit/>
        </w:trPr>
        <w:tc>
          <w:tcPr>
            <w:tcW w:w="560" w:type="dxa"/>
          </w:tcPr>
          <w:p>
            <w:r>
              <w:rPr>
                <w:sz w:val="16"/>
              </w:rPr>
              <w:t xml:space="preserve">3</w:t>
            </w:r>
          </w:p>
        </w:tc>
        <w:tc>
          <w:tcPr>
            <w:tcW w:w="3800" w:type="dxa"/>
          </w:tcPr>
          <w:p>
            <w:r>
              <w:rPr>
                <w:sz w:val="16"/>
              </w:rPr>
              <w:t xml:space="preserve">Монтаж этажерки испарителей II ступеней с отметкой низа конуса около +8…+9 и опорных конструкций стояков барометрических труб</w:t>
            </w:r>
          </w:p>
        </w:tc>
        <w:tc>
          <w:tcPr>
            <w:tcW w:w="2900" w:type="dxa"/>
          </w:tcPr>
          <w:p>
            <w:r>
              <w:rPr>
                <w:sz w:val="16"/>
              </w:rPr>
              <w:t xml:space="preserve">Выполняется до установки аппаратов; завершение — геодезическая исполнительная схема отметок опорных узлов</w:t>
            </w:r>
          </w:p>
        </w:tc>
        <w:tc>
          <w:tcPr>
            <w:tcW w:w="2094" w:type="dxa"/>
          </w:tcPr>
          <w:p>
            <w:r>
              <w:rPr>
                <w:sz w:val="16"/>
              </w:rPr>
              <w:t xml:space="preserve">Мобильный кран или цеховые средства</w:t>
            </w:r>
          </w:p>
        </w:tc>
      </w:tr>
      <w:tr>
        <w:trPr>
          <w:cantSplit/>
        </w:trPr>
        <w:tc>
          <w:tcPr>
            <w:tcW w:w="560" w:type="dxa"/>
          </w:tcPr>
          <w:p>
            <w:r>
              <w:rPr>
                <w:sz w:val="16"/>
              </w:rPr>
              <w:t xml:space="preserve">4</w:t>
            </w:r>
          </w:p>
        </w:tc>
        <w:tc>
          <w:tcPr>
            <w:tcW w:w="3800" w:type="dxa"/>
          </w:tcPr>
          <w:p>
            <w:r>
              <w:rPr>
                <w:sz w:val="16"/>
              </w:rPr>
              <w:t xml:space="preserve">Подача и установка крупногабарита: испарители I и II ступеней, выносной подогреватель, барометрические конденсаторы</w:t>
            </w:r>
          </w:p>
        </w:tc>
        <w:tc>
          <w:tcPr>
            <w:tcW w:w="2900" w:type="dxa"/>
          </w:tcPr>
          <w:p>
            <w:r>
              <w:rPr>
                <w:sz w:val="16"/>
              </w:rPr>
              <w:t xml:space="preserve">Начало — после приёмки опорных конструкций; способ подачи — по решению, принятому на этапе 1</w:t>
            </w:r>
          </w:p>
        </w:tc>
        <w:tc>
          <w:tcPr>
            <w:tcW w:w="2094" w:type="dxa"/>
          </w:tcPr>
          <w:p>
            <w:r>
              <w:rPr>
                <w:sz w:val="16"/>
              </w:rPr>
              <w:t xml:space="preserve">Мобильный кран через монтажный проём либо цеховые краны при поблочной подаче</w:t>
            </w:r>
          </w:p>
        </w:tc>
      </w:tr>
      <w:tr>
        <w:trPr>
          <w:cantSplit/>
        </w:trPr>
        <w:tc>
          <w:tcPr>
            <w:tcW w:w="560" w:type="dxa"/>
          </w:tcPr>
          <w:p>
            <w:r>
              <w:rPr>
                <w:sz w:val="16"/>
              </w:rPr>
              <w:t xml:space="preserve">5</w:t>
            </w:r>
          </w:p>
        </w:tc>
        <w:tc>
          <w:tcPr>
            <w:tcW w:w="3800" w:type="dxa"/>
          </w:tcPr>
          <w:p>
            <w:r>
              <w:rPr>
                <w:sz w:val="16"/>
              </w:rPr>
              <w:t xml:space="preserve">Укрупнительная сборка и монтажная сварка корпусов из транспортабельных частей (при поблочной поставке)</w:t>
            </w:r>
          </w:p>
        </w:tc>
        <w:tc>
          <w:tcPr>
            <w:tcW w:w="2900" w:type="dxa"/>
          </w:tcPr>
          <w:p>
            <w:r>
              <w:rPr>
                <w:sz w:val="16"/>
              </w:rPr>
              <w:t xml:space="preserve">Выполняется по аттестованным технологиям сварки; завершение — неразрушающий контроль монтажных швов в объёме опросного листа</w:t>
            </w:r>
          </w:p>
        </w:tc>
        <w:tc>
          <w:tcPr>
            <w:tcW w:w="2094" w:type="dxa"/>
          </w:tcPr>
          <w:p>
            <w:r>
              <w:rPr>
                <w:sz w:val="16"/>
              </w:rPr>
              <w:t xml:space="preserve">Сварочное оборудование, оснастка для сборки под сварку</w:t>
            </w:r>
          </w:p>
        </w:tc>
      </w:tr>
      <w:tr>
        <w:trPr>
          <w:cantSplit/>
        </w:trPr>
        <w:tc>
          <w:tcPr>
            <w:tcW w:w="560" w:type="dxa"/>
          </w:tcPr>
          <w:p>
            <w:r>
              <w:rPr>
                <w:sz w:val="16"/>
              </w:rPr>
              <w:t xml:space="preserve">6</w:t>
            </w:r>
          </w:p>
        </w:tc>
        <w:tc>
          <w:tcPr>
            <w:tcW w:w="3800" w:type="dxa"/>
          </w:tcPr>
          <w:p>
            <w:r>
              <w:rPr>
                <w:sz w:val="16"/>
              </w:rPr>
              <w:t xml:space="preserve">Монтаж стояков барометрических труб и солевых колонн секциями с монтажными стыками; выверка вертикальности</w:t>
            </w:r>
          </w:p>
        </w:tc>
        <w:tc>
          <w:tcPr>
            <w:tcW w:w="2900" w:type="dxa"/>
          </w:tcPr>
          <w:p>
            <w:r>
              <w:rPr>
                <w:sz w:val="16"/>
              </w:rPr>
              <w:t xml:space="preserve">Завершение — исполнительная схема вертикальности и отметок уровня воды гидрозатворов</w:t>
            </w:r>
          </w:p>
        </w:tc>
        <w:tc>
          <w:tcPr>
            <w:tcW w:w="2094" w:type="dxa"/>
          </w:tcPr>
          <w:p>
            <w:r>
              <w:rPr>
                <w:sz w:val="16"/>
              </w:rPr>
              <w:t xml:space="preserve">Цеховые краны, монтажные мачты и лебёдки</w:t>
            </w:r>
          </w:p>
        </w:tc>
      </w:tr>
      <w:tr>
        <w:trPr>
          <w:cantSplit/>
        </w:trPr>
        <w:tc>
          <w:tcPr>
            <w:tcW w:w="560" w:type="dxa"/>
          </w:tcPr>
          <w:p>
            <w:r>
              <w:rPr>
                <w:sz w:val="16"/>
              </w:rPr>
              <w:t xml:space="preserve">7</w:t>
            </w:r>
          </w:p>
        </w:tc>
        <w:tc>
          <w:tcPr>
            <w:tcW w:w="3800" w:type="dxa"/>
          </w:tcPr>
          <w:p>
            <w:r>
              <w:rPr>
                <w:sz w:val="16"/>
              </w:rPr>
              <w:t xml:space="preserve">Монтаж технологических трубопроводов, арматуры и вакуумного контура; монтаж паровых линий и эжекторов</w:t>
            </w:r>
          </w:p>
        </w:tc>
        <w:tc>
          <w:tcPr>
            <w:tcW w:w="2900" w:type="dxa"/>
          </w:tcPr>
          <w:p>
            <w:r>
              <w:rPr>
                <w:sz w:val="16"/>
              </w:rPr>
              <w:t xml:space="preserve">Завершение — испытания на прочность и плотность, испытание вакуумного контура по скорости падения вакуума</w:t>
            </w:r>
          </w:p>
        </w:tc>
        <w:tc>
          <w:tcPr>
            <w:tcW w:w="2094" w:type="dxa"/>
          </w:tcPr>
          <w:p>
            <w:r>
              <w:rPr>
                <w:sz w:val="16"/>
              </w:rPr>
              <w:t xml:space="preserve">Такелажные средства</w:t>
            </w:r>
          </w:p>
        </w:tc>
      </w:tr>
      <w:tr>
        <w:trPr>
          <w:cantSplit/>
        </w:trPr>
        <w:tc>
          <w:tcPr>
            <w:tcW w:w="560" w:type="dxa"/>
          </w:tcPr>
          <w:p>
            <w:r>
              <w:rPr>
                <w:sz w:val="16"/>
              </w:rPr>
              <w:t xml:space="preserve">8</w:t>
            </w:r>
          </w:p>
        </w:tc>
        <w:tc>
          <w:tcPr>
            <w:tcW w:w="3800" w:type="dxa"/>
          </w:tcPr>
          <w:p>
            <w:r>
              <w:rPr>
                <w:sz w:val="16"/>
              </w:rPr>
              <w:t xml:space="preserve">Травление и пассивация зон монтажной сварки, удаление свободного железа, финальная промывка</w:t>
            </w:r>
          </w:p>
        </w:tc>
        <w:tc>
          <w:tcPr>
            <w:tcW w:w="2900" w:type="dxa"/>
          </w:tcPr>
          <w:p>
            <w:r>
              <w:rPr>
                <w:sz w:val="16"/>
              </w:rPr>
              <w:t xml:space="preserve">Начало — после завершения сварочных и абразивных работ в зоне; завершение — контроль остаточного свободного железа</w:t>
            </w:r>
          </w:p>
        </w:tc>
        <w:tc>
          <w:tcPr>
            <w:tcW w:w="2094" w:type="dxa"/>
          </w:tcPr>
          <w:p>
            <w:r>
              <w:rPr>
                <w:sz w:val="16"/>
              </w:rPr>
              <w:t xml:space="preserve">Средства химической обработки поверхностей</w:t>
            </w:r>
          </w:p>
        </w:tc>
      </w:tr>
      <w:tr>
        <w:trPr>
          <w:cantSplit/>
        </w:trPr>
        <w:tc>
          <w:tcPr>
            <w:tcW w:w="560" w:type="dxa"/>
          </w:tcPr>
          <w:p>
            <w:r>
              <w:rPr>
                <w:sz w:val="16"/>
              </w:rPr>
              <w:t xml:space="preserve">9</w:t>
            </w:r>
          </w:p>
        </w:tc>
        <w:tc>
          <w:tcPr>
            <w:tcW w:w="3800" w:type="dxa"/>
          </w:tcPr>
          <w:p>
            <w:r>
              <w:rPr>
                <w:sz w:val="16"/>
              </w:rPr>
              <w:t xml:space="preserve">Монтаж электротехнической части, приборов контроля и автоматизации, оборудования автоматизированной системы управления участком</w:t>
            </w:r>
          </w:p>
        </w:tc>
        <w:tc>
          <w:tcPr>
            <w:tcW w:w="2900" w:type="dxa"/>
          </w:tcPr>
          <w:p>
            <w:r>
              <w:rPr>
                <w:sz w:val="16"/>
              </w:rPr>
              <w:t xml:space="preserve">Завершение — автономная наладка и поканальная проверка</w:t>
            </w:r>
          </w:p>
        </w:tc>
        <w:tc>
          <w:tcPr>
            <w:tcW w:w="2094" w:type="dxa"/>
          </w:tcPr>
          <w:p>
            <w:r>
              <w:rPr>
                <w:sz w:val="16"/>
              </w:rPr>
              <w:t xml:space="preserve">Средства монтажа систем автоматизации</w:t>
            </w:r>
          </w:p>
        </w:tc>
      </w:tr>
      <w:tr>
        <w:trPr>
          <w:cantSplit/>
        </w:trPr>
        <w:tc>
          <w:tcPr>
            <w:tcW w:w="560" w:type="dxa"/>
          </w:tcPr>
          <w:p>
            <w:r>
              <w:rPr>
                <w:sz w:val="16"/>
              </w:rPr>
              <w:t xml:space="preserve">10</w:t>
            </w:r>
          </w:p>
        </w:tc>
        <w:tc>
          <w:tcPr>
            <w:tcW w:w="3800" w:type="dxa"/>
          </w:tcPr>
          <w:p>
            <w:r>
              <w:rPr>
                <w:sz w:val="16"/>
              </w:rPr>
              <w:t xml:space="preserve">Индивидуальные испытания, испытания на плотность и прочность; передача оборудования в пусконаладку</w:t>
            </w:r>
          </w:p>
        </w:tc>
        <w:tc>
          <w:tcPr>
            <w:tcW w:w="2900" w:type="dxa"/>
          </w:tcPr>
          <w:p>
            <w:r>
              <w:rPr>
                <w:sz w:val="16"/>
              </w:rPr>
              <w:t xml:space="preserve">Завершение — акт о выполнении монтажных работ</w:t>
            </w:r>
          </w:p>
        </w:tc>
        <w:tc>
          <w:tcPr>
            <w:tcW w:w="2094" w:type="dxa"/>
          </w:tcPr>
          <w:p>
            <w:r>
              <w:rPr>
                <w:sz w:val="16"/>
              </w:rPr>
              <w:t xml:space="preserve">Средства испытаний и наладки</w:t>
            </w:r>
          </w:p>
        </w:tc>
      </w:tr>
    </w:tbl>
    <w:p>
      <w:r>
        <w:rPr>
          <w:sz w:val="20"/>
        </w:rPr>
        <w:t xml:space="preserve">Ограничение последовательности: приямки гидрозатворов и этажерка испарителей II ступеней должны быть выполнены до подачи аппаратов в пролёт, а способ подачи должен быть выбран до размещения заказа на оборудование — от него зависит требование к делению корпусов на транспортабельные части, включаемое в опросные листы.</w:t>
      </w:r>
    </w:p>
    <w:p>
      <w:pPr>
        <w:pStyle w:val="Heading1"/>
      </w:pPr>
      <w:r>
        <w:rPr>
          <w:b/>
          <w:sz w:val="28"/>
        </w:rPr>
        <w:t xml:space="preserve">6. Грузоподъёмные механизмы и такелаж</w:t>
      </w:r>
    </w:p>
    <w:p>
      <w:r>
        <w:rPr>
          <w:sz w:val="20"/>
        </w:rPr>
        <w:t xml:space="preserve">Потребность в грузоподъёмных механизмах определена по ведомости раздела 2: требуемая грузоподъёмность назначена по наибольшей монтажной единице с учётом массы траверсы и оснастки, требуемая высота подъёма — по наибольшей отметке установки с запасом на строповку.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200"/>
        <w:gridCol w:w="2700"/>
        <w:gridCol w:w="3300"/>
        <w:gridCol w:w="1154"/>
      </w:tblGrid>
      <w:tr>
        <w:trPr>
          <w:tblHeader/>
          <w:cantSplit/>
        </w:trPr>
        <w:tc>
          <w:tcPr>
            <w:tcW w:w="2200" w:type="dxa"/>
            <w:shd w:val="clear" w:fill="EFEFEF"/>
          </w:tcPr>
          <w:p>
            <w:r>
              <w:rPr>
                <w:b/>
                <w:sz w:val="15"/>
              </w:rPr>
              <w:t xml:space="preserve">Механизм, оснастка</w:t>
            </w:r>
          </w:p>
        </w:tc>
        <w:tc>
          <w:tcPr>
            <w:tcW w:w="2700" w:type="dxa"/>
            <w:shd w:val="clear" w:fill="EFEFEF"/>
          </w:tcPr>
          <w:p>
            <w:r>
              <w:rPr>
                <w:b/>
                <w:sz w:val="15"/>
              </w:rPr>
              <w:t xml:space="preserve">Назначение в монтаже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5"/>
              </w:rPr>
              <w:t xml:space="preserve">Требуемая характеристика</w:t>
            </w:r>
          </w:p>
        </w:tc>
        <w:tc>
          <w:tcPr>
            <w:tcW w:w="1154" w:type="dxa"/>
            <w:shd w:val="clear" w:fill="EFEFEF"/>
          </w:tcPr>
          <w:p>
            <w:r>
              <w:rPr>
                <w:b/>
                <w:sz w:val="15"/>
              </w:rPr>
              <w:t xml:space="preserve">Основание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6"/>
              </w:rPr>
              <w:t xml:space="preserve">Существующие мостовые краны здания гидрометаллургического участка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Монтаж лёгкого и среднего оборудования, обслуживание в эксплуатации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Грузоподъёмность 5 и 7,5 т при верхе рельсов +10,000 и +10,500 — ниже массы наибольшей неделимой части аппарата (8–15 т); для монтажа крупногабарита недостаточны</w:t>
            </w:r>
          </w:p>
        </w:tc>
        <w:tc>
          <w:tcPr>
            <w:tcW w:w="1154" w:type="dxa"/>
          </w:tcPr>
          <w:p>
            <w:r>
              <w:rPr>
                <w:sz w:val="16"/>
              </w:rPr>
              <w:t xml:space="preserve">Прил. №7 к ТЗ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6"/>
              </w:rPr>
              <w:t xml:space="preserve">Мобильный автомобильный кран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Подача и установка испарителей, подогревателя и конденсаторов целиком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Грузоподъёмность на вылете не ниже 15 т (верхняя граница оценки массы аппарата) с учётом массы траверсы; работа через монтажный проём либо до закрытия зоны кровли</w:t>
            </w:r>
          </w:p>
        </w:tc>
        <w:tc>
          <w:tcPr>
            <w:tcW w:w="1154" w:type="dxa"/>
          </w:tcPr>
          <w:p>
            <w:r>
              <w:rPr>
                <w:sz w:val="16"/>
              </w:rPr>
              <w:t xml:space="preserve">Расчёт БИ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6"/>
              </w:rPr>
              <w:t xml:space="preserve">Крановое оборудование нового корпуса (базовый сценарий)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Монтаж и эксплуатационное обслуживание аппаратов участка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Грузоподъёмность не ниже массы наибольшей неделимой части — предварительно 15 т; окончательно по опросным листам изготовителей</w:t>
            </w:r>
          </w:p>
        </w:tc>
        <w:tc>
          <w:tcPr>
            <w:tcW w:w="1154" w:type="dxa"/>
          </w:tcPr>
          <w:p>
            <w:r>
              <w:rPr>
                <w:sz w:val="16"/>
              </w:rPr>
              <w:t xml:space="preserve">Расчёт БИ; ТЗ п. 1.3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6"/>
              </w:rPr>
              <w:t xml:space="preserve">Монтажные мачты, лебёдки и полиспасты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Подъём и вертикальная выверка стояков барометрических труб и солевых колонн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Назначаются по массе плети и высоте подъёма; схема — в проекте производства работ</w:t>
            </w:r>
          </w:p>
        </w:tc>
        <w:tc>
          <w:tcPr>
            <w:tcW w:w="1154" w:type="dxa"/>
          </w:tcPr>
          <w:p>
            <w:r>
              <w:rPr>
                <w:sz w:val="16"/>
              </w:rPr>
              <w:t xml:space="preserve">Расчёт БИ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6"/>
              </w:rPr>
              <w:t xml:space="preserve">Текстильные стропы и защитные прокладки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Строповка оборудования из стали 904L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Контакт с углеродистой сталью исключается: применяются текстильные стропы либо стропы с защитными прокладками</w:t>
            </w:r>
          </w:p>
        </w:tc>
        <w:tc>
          <w:tcPr>
            <w:tcW w:w="1154" w:type="dxa"/>
          </w:tcPr>
          <w:p>
            <w:r>
              <w:rPr>
                <w:sz w:val="16"/>
              </w:rPr>
              <w:t xml:space="preserve">ИД ч.2 разд. 4.2.1</w:t>
            </w:r>
          </w:p>
        </w:tc>
      </w:tr>
    </w:tbl>
    <w:p>
      <w:r>
        <w:rPr>
          <w:sz w:val="20"/>
        </w:rPr>
        <w:t xml:space="preserve">Работы с применением подъёмных сооружений выполняются по проекту производства работ с применением подъёмных сооружений, разрабатываемому монтажной организацией. В нём определяются стоянки кранов, схемы строповки конкретных грузов, опасные зоны, нагрузки на основания под опорами и мероприятия при работе вблизи существующих конструкций и действующих коммуникаций.</w:t>
      </w:r>
    </w:p>
    <w:p>
      <w:r>
        <w:rPr>
          <w:sz w:val="20"/>
        </w:rPr>
        <w:t xml:space="preserve">Строповка оборудования выполняется только за штатные строповочные элементы по схемам заводов-изготовителей. Схема строповки, координаты центра тяжести и допустимые точки опирания при промежуточном складировании входят в комплект поставки и являются обязательным полем опросного листа.</w:t>
      </w:r>
    </w:p>
    <w:p>
      <w:r>
        <w:rPr>
          <w:sz w:val="20"/>
        </w:rPr>
        <w:t xml:space="preserve">Подъёмные сооружения, съёмные грузозахватные приспособления и тара проходят освидетельствование в установленном порядке; персонал, выполняющий подъёмные операции, аттестуется. Смонтированные краны вводятся в работу после полного технического освидетельствования.</w:t>
      </w:r>
    </w:p>
    <w:p>
      <w:r>
        <w:rPr>
          <w:sz w:val="20"/>
        </w:rPr>
        <w:t xml:space="preserve">Монтажные нагрузки на перекрытия и площадки от временного складирования, опор оснастки и проезда техники проверяются расчётом до начала работ. Нагрузки, превышающие принятые в документе планов конструкций и фундаментов, требуют согласования с проектной организацией.</w:t>
      </w:r>
    </w:p>
    <w:p>
      <w:pPr>
        <w:pStyle w:val="Heading1"/>
      </w:pPr>
      <w:r>
        <w:rPr>
          <w:b/>
          <w:sz w:val="28"/>
        </w:rPr>
        <w:t xml:space="preserve">7. Особые требования по видам работ</w:t>
      </w:r>
    </w:p>
    <w:p>
      <w:pPr>
        <w:pStyle w:val="Heading2"/>
      </w:pPr>
      <w:r>
        <w:rPr>
          <w:b/>
          <w:sz w:val="24"/>
        </w:rPr>
        <w:t xml:space="preserve">7.1 Монтажная сварка стали 904L</w:t>
      </w:r>
    </w:p>
    <w:p>
      <w:r>
        <w:rPr>
          <w:sz w:val="20"/>
        </w:rPr>
        <w:t xml:space="preserve">Основное оборудование участка выполняется из стали 904L или согласованного аналога: исходные данные прямо исключают применение стали типа 316L для оборудования, контактирующего с горячими кислыми концентрированными сульфатными растворами. Монтажная сварка выполняется по аттестованным технологиям аттестованным персоналом; присадочные материалы — с содержанием молибдена и меди не ниже основного металла.</w:t>
      </w:r>
    </w:p>
    <w:p>
      <w:r>
        <w:rPr>
          <w:sz w:val="20"/>
        </w:rPr>
        <w:t xml:space="preserve">Объём неразрушающего контроля монтажных швов, требования к карте швов, подтверждению химического состава и стойкости к межкристаллитной коррозии по ГОСТ 6032 задаются опросными листами и техническими условиями поставки. Замена материала поставщиком без согласования является основанием для отклонения технического предложения.</w:t>
      </w:r>
    </w:p>
    <w:p>
      <w:pPr>
        <w:pStyle w:val="Heading2"/>
      </w:pPr>
      <w:r>
        <w:rPr>
          <w:b/>
          <w:sz w:val="24"/>
        </w:rPr>
        <w:t xml:space="preserve">7.2 Чистота монтажа и исключение загрязнения свободным железом</w:t>
      </w:r>
    </w:p>
    <w:p>
      <w:r>
        <w:rPr>
          <w:sz w:val="20"/>
        </w:rPr>
        <w:t xml:space="preserve">При монтаже оборудования и трубопроводов из стали 904L исключается контакт с углеродистой сталью: применяется раздельный инструмент и абразивы, предназначенные только для коррозионностойких сталей; строповка выполняется текстильными стропами либо стропами с защитными прокладками; подкладки при складировании — неметаллические или из коррозионностойкой стали.</w:t>
      </w:r>
    </w:p>
    <w:p>
      <w:r>
        <w:rPr>
          <w:sz w:val="20"/>
        </w:rPr>
        <w:t xml:space="preserve">Обоснование жёсткости требования: свободное железо и продукты коррозии переходят в продукт и нарушают норматив содержания железа в медном купоросе 0,04 % и предельную концентрацию железа в электролите 3 г/л, что напрямую влияет на качество катодной меди марки М00к.</w:t>
      </w:r>
    </w:p>
    <w:p>
      <w:pPr>
        <w:pStyle w:val="Heading2"/>
      </w:pPr>
      <w:r>
        <w:rPr>
          <w:b/>
          <w:sz w:val="24"/>
        </w:rPr>
        <w:t xml:space="preserve">7.3 Травление и пассивация зон монтажной сварки</w:t>
      </w:r>
    </w:p>
    <w:p>
      <w:r>
        <w:rPr>
          <w:sz w:val="20"/>
        </w:rPr>
        <w:t xml:space="preserve">После завершения монтажной сварки и абразивных работ выполняется удаление окалины и цветов побежалости, травление и пассивация зон сварки по методике изготовителя оборудования, с последующим контролем остаточного свободного железа и финальной водной промывкой до нейтральной реакции. Требования к качеству воды промывки определяются на стадии Базового инжиниринга.</w:t>
      </w:r>
    </w:p>
    <w:p>
      <w:r>
        <w:rPr>
          <w:sz w:val="20"/>
        </w:rPr>
        <w:t xml:space="preserve">Работы по травлению и пассивации планируются как отдельный этап монтажа: их выполнение после закрытия аппаратов теплоизоляцией и обвязкой технически затруднено, а пропуск этапа приводит к загрязнению продукта в первые же циклы работы.</w:t>
      </w:r>
    </w:p>
    <w:p>
      <w:pPr>
        <w:pStyle w:val="Heading2"/>
      </w:pPr>
      <w:r>
        <w:rPr>
          <w:b/>
          <w:sz w:val="24"/>
        </w:rPr>
        <w:t xml:space="preserve">7.4 Выверка вертикальности стояков и солевых колонн</w:t>
      </w:r>
    </w:p>
    <w:p>
      <w:r>
        <w:rPr>
          <w:sz w:val="20"/>
        </w:rPr>
        <w:t xml:space="preserve">Стояки барометрических труб длиной около 10,5 м и солевые колонны со столбом пульпы 7,0–7,9 м монтируются секциями с монтажными стыками. Выверка вертикальности обязательна по всей длине: отклонение нарушает работу барометрического затвора и гидростатический режим солевой колонны.</w:t>
      </w:r>
    </w:p>
    <w:p>
      <w:r>
        <w:rPr>
          <w:sz w:val="20"/>
        </w:rPr>
        <w:t xml:space="preserve">Уровень воды в гидрозатворе принят на отметке минус 1,5…минус 2,0 при глубине приямка 2,0–2,5 м; потребная вертикаль от уровня воды до верха конденсатора 12,5–13,0 м. Фактические отметки низа несущих конструкций покрытия подтверждаются обмерным обследованием до монтажа стояков.</w:t>
      </w:r>
    </w:p>
    <w:p>
      <w:pPr>
        <w:pStyle w:val="Heading2"/>
      </w:pPr>
      <w:r>
        <w:rPr>
          <w:b/>
          <w:sz w:val="24"/>
        </w:rPr>
        <w:t xml:space="preserve">7.5 Гидравлические испытания и учёт испытательных нагрузок</w:t>
      </w:r>
    </w:p>
    <w:p>
      <w:r>
        <w:rPr>
          <w:sz w:val="20"/>
        </w:rPr>
        <w:t xml:space="preserve">Паровые полости подогревателей испытываются пробным давлением не ниже 1,25 рабочего с температурной поправкой; вакуумные корпуса испарителей и конденсаторов рассчитываются на наружное давление и испытываются наливом с контролем плотности. Трубопроводы испытываются на прочность и плотность, вакуумный контур в сборе — по скорости падения вакуума.</w:t>
      </w:r>
    </w:p>
    <w:p>
      <w:r>
        <w:rPr>
          <w:sz w:val="20"/>
        </w:rPr>
        <w:t xml:space="preserve">Испытательные нагрузки на строительные конструкции не превышают рабочих: полный налив испарителя водой даёт 34,5 т против рабочего заполнения пульпой около 45 т. Дополнительное усиление конструкций на период испытаний не требуется.</w:t>
      </w:r>
    </w:p>
    <w:p>
      <w:pPr>
        <w:pStyle w:val="Heading2"/>
      </w:pPr>
      <w:r>
        <w:rPr>
          <w:b/>
          <w:sz w:val="24"/>
        </w:rPr>
        <w:t xml:space="preserve">7.6 Монтаж на существующих конструкциях</w:t>
      </w:r>
    </w:p>
    <w:p>
      <w:r>
        <w:rPr>
          <w:sz w:val="20"/>
        </w:rPr>
        <w:t xml:space="preserve">Установка оборудования на существующие перекрытия с отметками +5,000 и +6,000 и передача нагрузок этажерки на существующие ростверки допускаются только после поверочного расчёта по результатам обследования. Монтажные нагрузки от оснастки, временного складирования и проезда техники по существующим конструкциям включаются в тот же поверочный расчёт.</w:t>
      </w:r>
    </w:p>
    <w:p>
      <w:pPr>
        <w:pStyle w:val="Heading1"/>
      </w:pPr>
      <w:r>
        <w:rPr>
          <w:b/>
          <w:sz w:val="28"/>
        </w:rPr>
        <w:t xml:space="preserve">8. Требования монтажной технологичности к поставке</w:t>
      </w:r>
    </w:p>
    <w:p>
      <w:r>
        <w:rPr>
          <w:sz w:val="20"/>
        </w:rPr>
        <w:t xml:space="preserve">Требования монтажной технологичности закладываются в опросные листы и технические условия поставки до запроса технико-коммерческих предложений: без них масса самой тяжёлой неразъёмной части и способ подачи оборудования остаются неопределёнными до поставки, а изменение грузоподъёмности механизма или габарита монтажного проёма на поздней стадии влечёт переработку строительных решений.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450"/>
        <w:gridCol w:w="4900"/>
        <w:gridCol w:w="2004"/>
      </w:tblGrid>
      <w:tr>
        <w:trPr>
          <w:tblHeader/>
          <w:cantSplit/>
        </w:trPr>
        <w:tc>
          <w:tcPr>
            <w:tcW w:w="2450" w:type="dxa"/>
            <w:shd w:val="clear" w:fill="EFEFEF"/>
          </w:tcPr>
          <w:p>
            <w:r>
              <w:rPr>
                <w:b/>
                <w:sz w:val="15"/>
              </w:rPr>
              <w:t xml:space="preserve">Требование</w:t>
            </w:r>
          </w:p>
        </w:tc>
        <w:tc>
          <w:tcPr>
            <w:tcW w:w="4900" w:type="dxa"/>
            <w:shd w:val="clear" w:fill="EFEFEF"/>
          </w:tcPr>
          <w:p>
            <w:r>
              <w:rPr>
                <w:b/>
                <w:sz w:val="15"/>
              </w:rPr>
              <w:t xml:space="preserve">Содержание</w:t>
            </w:r>
          </w:p>
        </w:tc>
        <w:tc>
          <w:tcPr>
            <w:tcW w:w="2004" w:type="dxa"/>
            <w:shd w:val="clear" w:fill="EFEFEF"/>
          </w:tcPr>
          <w:p>
            <w:r>
              <w:rPr>
                <w:b/>
                <w:sz w:val="15"/>
              </w:rPr>
              <w:t xml:space="preserve">Куда транслируется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Масса транспортной и монтажной единицы</w:t>
            </w:r>
          </w:p>
        </w:tc>
        <w:tc>
          <w:tcPr>
            <w:tcW w:w="4900" w:type="dxa"/>
          </w:tcPr>
          <w:p>
            <w:r>
              <w:rPr>
                <w:sz w:val="16"/>
              </w:rPr>
              <w:t xml:space="preserve">Масса каждой транспортной единицы и каждого монтажного блока с указанием единиц измерения и допускаемого отклонения</w:t>
            </w:r>
          </w:p>
        </w:tc>
        <w:tc>
          <w:tcPr>
            <w:tcW w:w="2004" w:type="dxa"/>
          </w:tcPr>
          <w:p>
            <w:r>
              <w:rPr>
                <w:sz w:val="16"/>
              </w:rPr>
              <w:t xml:space="preserve">Опросные листы; ведомость разд. 2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Масса самой тяжёлой неразъёмной части</w:t>
            </w:r>
          </w:p>
        </w:tc>
        <w:tc>
          <w:tcPr>
            <w:tcW w:w="4900" w:type="dxa"/>
          </w:tcPr>
          <w:p>
            <w:r>
              <w:rPr>
                <w:sz w:val="16"/>
              </w:rPr>
              <w:t xml:space="preserve">Отдельно указывается масса самой тяжёлой неразъёмной части поставки — она определяет требуемую грузоподъёмность механизма и допустимость монтажа цеховыми средствами</w:t>
            </w:r>
          </w:p>
        </w:tc>
        <w:tc>
          <w:tcPr>
            <w:tcW w:w="2004" w:type="dxa"/>
          </w:tcPr>
          <w:p>
            <w:r>
              <w:rPr>
                <w:sz w:val="16"/>
              </w:rPr>
              <w:t xml:space="preserve">Опросные листы; технические условия поставки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Координаты центра тяжести</w:t>
            </w:r>
          </w:p>
        </w:tc>
        <w:tc>
          <w:tcPr>
            <w:tcW w:w="4900" w:type="dxa"/>
          </w:tcPr>
          <w:p>
            <w:r>
              <w:rPr>
                <w:sz w:val="16"/>
              </w:rPr>
              <w:t xml:space="preserve">Координаты центра тяжести транспортных и монтажных единиц в трёх осях с привязкой к габаритному чертежу</w:t>
            </w:r>
          </w:p>
        </w:tc>
        <w:tc>
          <w:tcPr>
            <w:tcW w:w="2004" w:type="dxa"/>
          </w:tcPr>
          <w:p>
            <w:r>
              <w:rPr>
                <w:sz w:val="16"/>
              </w:rPr>
              <w:t xml:space="preserve">Опросные листы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Деление на транспортабельные и монтажные блоки</w:t>
            </w:r>
          </w:p>
        </w:tc>
        <w:tc>
          <w:tcPr>
            <w:tcW w:w="4900" w:type="dxa"/>
          </w:tcPr>
          <w:p>
            <w:r>
              <w:rPr>
                <w:sz w:val="16"/>
              </w:rPr>
              <w:t xml:space="preserve">Схема деления с указанием расположения монтажных стыков, требований к сборке под сварку и объёма работ, выполняемых на площадке</w:t>
            </w:r>
          </w:p>
        </w:tc>
        <w:tc>
          <w:tcPr>
            <w:tcW w:w="2004" w:type="dxa"/>
          </w:tcPr>
          <w:p>
            <w:r>
              <w:rPr>
                <w:sz w:val="16"/>
              </w:rPr>
              <w:t xml:space="preserve">Опросные листы; задание на изготовление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Штатные строповочные элементы и схема строповки</w:t>
            </w:r>
          </w:p>
        </w:tc>
        <w:tc>
          <w:tcPr>
            <w:tcW w:w="4900" w:type="dxa"/>
          </w:tcPr>
          <w:p>
            <w:r>
              <w:rPr>
                <w:sz w:val="16"/>
              </w:rPr>
              <w:t xml:space="preserve">Конструкция и расположение строповочных элементов, схема строповки, допустимые углы наклона ветвей, требования к траверсам и подкладкам</w:t>
            </w:r>
          </w:p>
        </w:tc>
        <w:tc>
          <w:tcPr>
            <w:tcW w:w="2004" w:type="dxa"/>
          </w:tcPr>
          <w:p>
            <w:r>
              <w:rPr>
                <w:sz w:val="16"/>
              </w:rPr>
              <w:t xml:space="preserve">Опросные листы; комплект поставки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Габариты транспортных мест</w:t>
            </w:r>
          </w:p>
        </w:tc>
        <w:tc>
          <w:tcPr>
            <w:tcW w:w="4900" w:type="dxa"/>
          </w:tcPr>
          <w:p>
            <w:r>
              <w:rPr>
                <w:sz w:val="16"/>
              </w:rPr>
              <w:t xml:space="preserve">Габаритные размеры транспортных мест, признак негабаритности и требования к специальной перевозке</w:t>
            </w:r>
          </w:p>
        </w:tc>
        <w:tc>
          <w:tcPr>
            <w:tcW w:w="2004" w:type="dxa"/>
          </w:tcPr>
          <w:p>
            <w:r>
              <w:rPr>
                <w:sz w:val="16"/>
              </w:rPr>
              <w:t xml:space="preserve">Опросные листы; технические условия поставки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Требования к укрупнительной сборке</w:t>
            </w:r>
          </w:p>
        </w:tc>
        <w:tc>
          <w:tcPr>
            <w:tcW w:w="4900" w:type="dxa"/>
          </w:tcPr>
          <w:p>
            <w:r>
              <w:rPr>
                <w:sz w:val="16"/>
              </w:rPr>
              <w:t xml:space="preserve">Потребность и состав укрупнительной сборки на площадке, требования к стендам, оснастке и площадкам сборки</w:t>
            </w:r>
          </w:p>
        </w:tc>
        <w:tc>
          <w:tcPr>
            <w:tcW w:w="2004" w:type="dxa"/>
          </w:tcPr>
          <w:p>
            <w:r>
              <w:rPr>
                <w:sz w:val="16"/>
              </w:rPr>
              <w:t xml:space="preserve">Опросные листы; проект производства работ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Опорные узлы и допуски установки</w:t>
            </w:r>
          </w:p>
        </w:tc>
        <w:tc>
          <w:tcPr>
            <w:tcW w:w="4900" w:type="dxa"/>
          </w:tcPr>
          <w:p>
            <w:r>
              <w:rPr>
                <w:sz w:val="16"/>
              </w:rPr>
              <w:t xml:space="preserve">Конструкция опорных узлов, схема нагрузок на опоры, допуски выверки по высоте, в плане и по вертикали, требования к подливке</w:t>
            </w:r>
          </w:p>
        </w:tc>
        <w:tc>
          <w:tcPr>
            <w:tcW w:w="2004" w:type="dxa"/>
          </w:tcPr>
          <w:p>
            <w:r>
              <w:rPr>
                <w:sz w:val="16"/>
              </w:rPr>
              <w:t xml:space="preserve">Опросные листы; задание строительной части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Упаковка, консервация и хранение</w:t>
            </w:r>
          </w:p>
        </w:tc>
        <w:tc>
          <w:tcPr>
            <w:tcW w:w="4900" w:type="dxa"/>
          </w:tcPr>
          <w:p>
            <w:r>
              <w:rPr>
                <w:sz w:val="16"/>
              </w:rPr>
              <w:t xml:space="preserve">Требования к упаковке и транспортированию, в том числе к поставке в районы Крайнего Севера; сроки и условия хранения, порядок расконсервации перед монтажом</w:t>
            </w:r>
          </w:p>
        </w:tc>
        <w:tc>
          <w:tcPr>
            <w:tcW w:w="2004" w:type="dxa"/>
          </w:tcPr>
          <w:p>
            <w:r>
              <w:rPr>
                <w:sz w:val="16"/>
              </w:rPr>
              <w:t xml:space="preserve">Технические условия поставки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Шеф-монтаж и участие изготовителя</w:t>
            </w:r>
          </w:p>
        </w:tc>
        <w:tc>
          <w:tcPr>
            <w:tcW w:w="4900" w:type="dxa"/>
          </w:tcPr>
          <w:p>
            <w:r>
              <w:rPr>
                <w:sz w:val="16"/>
              </w:rPr>
              <w:t xml:space="preserve">Объём шеф-монтажа, пусконаладки и обучения персонала, включаемый в поставку; перечень операций, выполняемых только под надзором изготовителя</w:t>
            </w:r>
          </w:p>
        </w:tc>
        <w:tc>
          <w:tcPr>
            <w:tcW w:w="2004" w:type="dxa"/>
          </w:tcPr>
          <w:p>
            <w:r>
              <w:rPr>
                <w:sz w:val="16"/>
              </w:rPr>
              <w:t xml:space="preserve">Технические условия поставки; договор поставки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Монтажный инструмент и запасные части</w:t>
            </w:r>
          </w:p>
        </w:tc>
        <w:tc>
          <w:tcPr>
            <w:tcW w:w="4900" w:type="dxa"/>
          </w:tcPr>
          <w:p>
            <w:r>
              <w:rPr>
                <w:sz w:val="16"/>
              </w:rPr>
              <w:t xml:space="preserve">Специальный инструмент, оснастка и запасные части, необходимые при монтаже и первом запуске, включаемые в комплект поставки</w:t>
            </w:r>
          </w:p>
        </w:tc>
        <w:tc>
          <w:tcPr>
            <w:tcW w:w="2004" w:type="dxa"/>
          </w:tcPr>
          <w:p>
            <w:r>
              <w:rPr>
                <w:sz w:val="16"/>
              </w:rPr>
              <w:t xml:space="preserve">Опросные листы; комплект поставки</w:t>
            </w:r>
          </w:p>
        </w:tc>
      </w:tr>
    </w:tbl>
    <w:p>
      <w:r>
        <w:rPr>
          <w:sz w:val="20"/>
        </w:rPr>
        <w:t xml:space="preserve">Полученные от изготовителей значения вносятся в ведомость раздела 2 итерацией; после каждой итерации проверяются требуемая грузоподъёмность механизмов, габариты монтажных проёмов и монтажные нагрузки на строительные конструкции.</w:t>
      </w:r>
    </w:p>
    <w:p>
      <w:pPr>
        <w:pStyle w:val="Heading1"/>
      </w:pPr>
      <w:r>
        <w:rPr>
          <w:b/>
          <w:sz w:val="28"/>
        </w:rPr>
        <w:t xml:space="preserve">9. Приёмка монтажных работ и передача в пусконаладку</w:t>
      </w:r>
    </w:p>
    <w:p>
      <w:r>
        <w:rPr>
          <w:sz w:val="20"/>
        </w:rPr>
        <w:t xml:space="preserve">Приёмка ведётся поэтапно, с оформлением документов на каждом этапе. Работы, результаты которых закрываются последующими операциями, предъявляются к освидетельствованию до их закрытия.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450"/>
        <w:gridCol w:w="4550"/>
        <w:gridCol w:w="2354"/>
      </w:tblGrid>
      <w:tr>
        <w:trPr>
          <w:tblHeader/>
          <w:cantSplit/>
        </w:trPr>
        <w:tc>
          <w:tcPr>
            <w:tcW w:w="2450" w:type="dxa"/>
            <w:shd w:val="clear" w:fill="EFEFEF"/>
          </w:tcPr>
          <w:p>
            <w:r>
              <w:rPr>
                <w:b/>
                <w:sz w:val="15"/>
              </w:rPr>
              <w:t xml:space="preserve">Этап приёмки</w:t>
            </w:r>
          </w:p>
        </w:tc>
        <w:tc>
          <w:tcPr>
            <w:tcW w:w="4550" w:type="dxa"/>
            <w:shd w:val="clear" w:fill="EFEFEF"/>
          </w:tcPr>
          <w:p>
            <w:r>
              <w:rPr>
                <w:b/>
                <w:sz w:val="15"/>
              </w:rPr>
              <w:t xml:space="preserve">Что предъявляется</w:t>
            </w:r>
          </w:p>
        </w:tc>
        <w:tc>
          <w:tcPr>
            <w:tcW w:w="2354" w:type="dxa"/>
            <w:shd w:val="clear" w:fill="EFEFEF"/>
          </w:tcPr>
          <w:p>
            <w:r>
              <w:rPr>
                <w:b/>
                <w:sz w:val="15"/>
              </w:rPr>
              <w:t xml:space="preserve">Документ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Передача фундаментов под монтаж</w:t>
            </w:r>
          </w:p>
        </w:tc>
        <w:tc>
          <w:tcPr>
            <w:tcW w:w="4550" w:type="dxa"/>
          </w:tcPr>
          <w:p>
            <w:r>
              <w:rPr>
                <w:sz w:val="16"/>
              </w:rPr>
              <w:t xml:space="preserve">Готовность фундаментов и опорных конструкций, положение анкерных и закладных деталей, фактические отметки и оси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Акт передачи фундаментов под монтаж с исполнительной геодезической схемой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Освидетельствование скрытых работ</w:t>
            </w:r>
          </w:p>
        </w:tc>
        <w:tc>
          <w:tcPr>
            <w:tcW w:w="4550" w:type="dxa"/>
          </w:tcPr>
          <w:p>
            <w:r>
              <w:rPr>
                <w:sz w:val="16"/>
              </w:rPr>
              <w:t xml:space="preserve">Подливка опорных рам, кладка футеровки, слои кислотозащиты и антикоррозионных покрытий, закладные детали, изолирующие узлы — до их закрытия последующими работами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Акты освидетельствования скрытых работ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Приёмка сварных соединений</w:t>
            </w:r>
          </w:p>
        </w:tc>
        <w:tc>
          <w:tcPr>
            <w:tcW w:w="4550" w:type="dxa"/>
          </w:tcPr>
          <w:p>
            <w:r>
              <w:rPr>
                <w:sz w:val="16"/>
              </w:rPr>
              <w:t xml:space="preserve">Журналы сварочных работ, документы об аттестации технологий и персонала, результаты неразрушающего контроля в объёме, установленном опросными листами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Заключения по контролю; исполнительные схемы швов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Выверка и закрепление оборудования</w:t>
            </w:r>
          </w:p>
        </w:tc>
        <w:tc>
          <w:tcPr>
            <w:tcW w:w="4550" w:type="dxa"/>
          </w:tcPr>
          <w:p>
            <w:r>
              <w:rPr>
                <w:sz w:val="16"/>
              </w:rPr>
              <w:t xml:space="preserve">Фактическое положение оборудования по высоте, в плане и по вертикали; результаты центровки валов и контроля затяжки соединений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Исполнительные схемы установки; протоколы центровки и затяжки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Испытания в объёме монтажных работ</w:t>
            </w:r>
          </w:p>
        </w:tc>
        <w:tc>
          <w:tcPr>
            <w:tcW w:w="4550" w:type="dxa"/>
          </w:tcPr>
          <w:p>
            <w:r>
              <w:rPr>
                <w:sz w:val="16"/>
              </w:rPr>
              <w:t xml:space="preserve">Испытания трубопроводов и трактов на прочность и плотность, гидравлические испытания аппаратов, контроль электроизоляции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Протоколы и акты испытаний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Индивидуальные испытания оборудования</w:t>
            </w:r>
          </w:p>
        </w:tc>
        <w:tc>
          <w:tcPr>
            <w:tcW w:w="4550" w:type="dxa"/>
          </w:tcPr>
          <w:p>
            <w:r>
              <w:rPr>
                <w:sz w:val="16"/>
              </w:rPr>
              <w:t xml:space="preserve">Работа механизмов на холостом ходу, направления вращения, действие блокировок и сигнализации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Акты индивидуальных испытаний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Передача оборудования в пусконаладку</w:t>
            </w:r>
          </w:p>
        </w:tc>
        <w:tc>
          <w:tcPr>
            <w:tcW w:w="4550" w:type="dxa"/>
          </w:tcPr>
          <w:p>
            <w:r>
              <w:rPr>
                <w:sz w:val="16"/>
              </w:rPr>
              <w:t xml:space="preserve">Комплектность смонтированного оборудования, устранение замечаний, комплект исполнительной документации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Акт о выполнении монтажных работ</w:t>
            </w:r>
          </w:p>
        </w:tc>
      </w:tr>
    </w:tbl>
    <w:p>
      <w:r>
        <w:rPr>
          <w:sz w:val="20"/>
        </w:rPr>
        <w:t xml:space="preserve">Комплексное опробование под нагрузкой, пусконаладочные работы и гарантийные испытания выполняются после передачи оборудования в пусконаладку; требования к ним приведены в документе выпуска по испытаниям и приёмке соответствующего лота. Исполнительная документация монтажных работ передаётся Заказчику в составе комплекта, состав которого фиксируется до начала строительно-монтажных работ.</w:t>
      </w:r>
    </w:p>
    <w:p>
      <w:pPr>
        <w:pStyle w:val="Heading1"/>
      </w:pPr>
      <w:r>
        <w:rPr>
          <w:b/>
          <w:sz w:val="28"/>
        </w:rPr>
        <w:t xml:space="preserve">10. Открытые позиции</w:t>
      </w:r>
    </w:p>
    <w:p>
      <w:r>
        <w:rPr>
          <w:sz w:val="20"/>
        </w:rPr>
        <w:t xml:space="preserve">Ниже перечислено то, что на стадии Базового инжиниринга не может быть определено окончательно и требует данных Заказчика, результатов обследования либо технических предложений изготовителей. Каждая позиция закрывается до выдачи проекта производства работ и до размещения заказов на оборудование.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Массы, центры тяжести и деление на транспортабельные части — по данным изготовителей (опросные листы)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Способ заводки крупногабарита в здание гидрометаллургического участка (сценарий А: габариты проёмов/ворот) — по обмерному обследованию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Грузоподъёмность и тип монтажного механизма для подачи аппаратов — после получения масс изготовителей и результатов обмерного обследования проёмов.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Расположение монтажных стыков при поблочной поставке корпусов и объём неразрушающего контроля монтажных швов — по опросным листам изготовителей.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Требования к качеству воды промывки после травления и пассивации.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