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документа</w:t>
      </w:r>
    </w:p>
    <w:p>
      <w:r>
        <w:rPr>
          <w:sz w:val="20"/>
        </w:rPr>
        <w:t xml:space="preserve">Документ содержит предварительные нагрузки от технологического оборудования Лота №2 «Участок купороса» на строительные конструкции и фундаменты и требования к строительной части, необходимые для разработки конструктивных решений. Документ выполняет требования состава Базового инжиниринга «Планы строительных конструкций с нагрузками» и «Планы фундаментов с предварительными нагрузками, включая предварительные динамические нагрузки (с запасом)» (ТЗ на БИ ред. 4.1).</w:t>
      </w:r>
    </w:p>
    <w:p>
      <w:r>
        <w:rPr>
          <w:sz w:val="20"/>
        </w:rPr>
        <w:t xml:space="preserve">Текстовая часть включает ведомость предварительных нагрузок по оборудованию лота, раздел динамических нагрузок, требования к строительной части и перечень характеристик, уточняемых по техническим предложениям изготовителей. Графическая часть — планы на характерных отметках и разрезы с привязкой оборудования к разбивочным осям — выпускается в составе компоновочных решений лота; нагрузки настоящего документа наносятся на эти планы по узлам опирания в форме, приведённой в разделе 7.</w:t>
      </w:r>
    </w:p>
    <w:p>
      <w:r>
        <w:rPr>
          <w:sz w:val="20"/>
        </w:rPr>
        <w:t xml:space="preserve">Проработанный вариант размещения участка — существующее здание гидрометаллургического участка: корпус 96 × 108 м, пролёты по буквенным осям 18 + 6 + 24 + 24 + 24 м, шаг колонн 6 м, свайное основание с ростверками и пластовым дренажом (отметки низа −1,65…−2,25), частичные этажерки и перекрытия на отметках +5,000 и +6,000, мостовые краны грузоподъёмностью 5 и 7,5 т с верхом рельсов +10,000 и +10,500. Нагрузки участка передаются на существующие конструкции, поэтому определяющим является не расчёт новых элементов, а поверочный расчёт существующих ростверков, перекрытий и каркаса по результатам обследования. Для варианта нового корпуса те же нагрузки служат исходными данными задания на строительную часть.</w:t>
      </w:r>
    </w:p>
    <w:p>
      <w:r>
        <w:rPr>
          <w:color w:val="666666"/>
          <w:sz w:val="17"/>
        </w:rPr>
        <w:t xml:space="preserve">Источник: ИД ч.2 (рис. 4.4 и 4.5 — спецификации ниток выпарки, табл. 4.1); ТЗ на БИ ред. 4.1 (п. 4.5 — состав материалов по строительной части); приложение №7 к ТЗ (обмерные чертежи здания ГМУ); расчётная модель КВАНТ</w:t>
      </w:r>
    </w:p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ОВЭ75-БИ-Л2-ПЗ — Пояснительная записка</w:t>
      </w:r>
    </w:p>
    <w:p>
      <w:r>
        <w:rPr>
          <w:sz w:val="20"/>
        </w:rPr>
        <w:t xml:space="preserve">— ОВЭ75-БИ-Л2-КР — Компоновочные решения (планы, разрезы)</w:t>
      </w:r>
    </w:p>
    <w:p>
      <w:r>
        <w:rPr>
          <w:sz w:val="20"/>
        </w:rPr>
        <w:t xml:space="preserve">— ОВЭ75-БИ-Л2-СО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ОВЭ75-БИ-Л2-ОЛ — Опросные листы основного оборудования (альбом)</w:t>
      </w:r>
    </w:p>
    <w:p>
      <w:r>
        <w:rPr>
          <w:sz w:val="20"/>
        </w:rPr>
        <w:t xml:space="preserve">— ОВЭ75-БИ-Л2-МТ — Требования к монтажу (включая вес самых тяжёлых частей)</w:t>
      </w:r>
    </w:p>
    <w:p>
      <w:pPr>
        <w:pStyle w:val="Heading2"/>
      </w:pPr>
      <w:r>
        <w:rPr>
          <w:b/>
          <w:sz w:val="24"/>
        </w:rPr>
        <w:t xml:space="preserve">1.2 Стадия достоверности нагрузок</w:t>
      </w:r>
    </w:p>
    <w:p>
      <w:r>
        <w:rPr>
          <w:sz w:val="20"/>
        </w:rPr>
        <w:t xml:space="preserve">Нагрузки настоящего документа предварительные. На стадии Базового инжиниринга часть масс задана исходными данными Заказчика, часть получена расчётом по объёмам и плотностям, часть оценена по геометрии и аналогам, часть изготовителем не задана и определяется после выбора поставщика. Каждая строка ведомости относится к одной из четырёх категорий достоверности; порядок использования значений при проектировании приведён ниже.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100"/>
        <w:gridCol w:w="2700"/>
        <w:gridCol w:w="2400"/>
        <w:gridCol w:w="3154"/>
      </w:tblGrid>
      <w:tr>
        <w:trPr>
          <w:tblHeader/>
          <w:cantSplit/>
        </w:trPr>
        <w:tc>
          <w:tcPr>
            <w:tcW w:w="110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</w:t>
            </w:r>
          </w:p>
        </w:tc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Признак</w:t>
            </w:r>
          </w:p>
        </w:tc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Использование в расчёте</w:t>
            </w:r>
          </w:p>
        </w:tc>
        <w:tc>
          <w:tcPr>
            <w:tcW w:w="31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уточнения</w:t>
            </w:r>
          </w:p>
        </w:tc>
      </w:tr>
      <w:tr>
        <w:trPr>
          <w:cantSplit/>
        </w:trPr>
        <w:tc>
          <w:tcPr>
            <w:tcW w:w="1100" w:type="dxa"/>
          </w:tcPr>
          <w:p>
            <w:r>
              <w:rPr>
                <w:sz w:val="17"/>
              </w:rPr>
              <w:t xml:space="preserve">А</w:t>
            </w:r>
          </w:p>
        </w:tc>
        <w:tc>
          <w:tcPr>
            <w:tcW w:w="2700" w:type="dxa"/>
          </w:tcPr>
          <w:p>
            <w:r>
              <w:rPr>
                <w:sz w:val="17"/>
              </w:rPr>
              <w:t xml:space="preserve">Масса или нагрузка задана исходными данными Заказчика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Принимается в расчёт без изменения</w:t>
            </w:r>
          </w:p>
        </w:tc>
        <w:tc>
          <w:tcPr>
            <w:tcW w:w="3154" w:type="dxa"/>
          </w:tcPr>
          <w:p>
            <w:r>
              <w:rPr>
                <w:sz w:val="17"/>
              </w:rPr>
              <w:t xml:space="preserve">Уточняется при выдаче конструкторской документации изготовителя</w:t>
            </w:r>
          </w:p>
        </w:tc>
      </w:tr>
      <w:tr>
        <w:trPr>
          <w:cantSplit/>
        </w:trPr>
        <w:tc>
          <w:tcPr>
            <w:tcW w:w="1100" w:type="dxa"/>
          </w:tcPr>
          <w:p>
            <w:r>
              <w:rPr>
                <w:sz w:val="17"/>
              </w:rPr>
              <w:t xml:space="preserve">Б</w:t>
            </w:r>
          </w:p>
        </w:tc>
        <w:tc>
          <w:tcPr>
            <w:tcW w:w="2700" w:type="dxa"/>
          </w:tcPr>
          <w:p>
            <w:r>
              <w:rPr>
                <w:sz w:val="17"/>
              </w:rPr>
              <w:t xml:space="preserve">Нагрузка получена расчётом по объёму, плотности и уровню заполнения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Принимается в расчёт как предварительная</w:t>
            </w:r>
          </w:p>
        </w:tc>
        <w:tc>
          <w:tcPr>
            <w:tcW w:w="3154" w:type="dxa"/>
          </w:tcPr>
          <w:p>
            <w:r>
              <w:rPr>
                <w:sz w:val="17"/>
              </w:rPr>
              <w:t xml:space="preserve">Уточняется по фактическим плотностям и уровням заполнения на стадии БИ</w:t>
            </w:r>
          </w:p>
        </w:tc>
      </w:tr>
      <w:tr>
        <w:trPr>
          <w:cantSplit/>
        </w:trPr>
        <w:tc>
          <w:tcPr>
            <w:tcW w:w="1100" w:type="dxa"/>
          </w:tcPr>
          <w:p>
            <w:r>
              <w:rPr>
                <w:sz w:val="17"/>
              </w:rPr>
              <w:t xml:space="preserve">В</w:t>
            </w:r>
          </w:p>
        </w:tc>
        <w:tc>
          <w:tcPr>
            <w:tcW w:w="2700" w:type="dxa"/>
          </w:tcPr>
          <w:p>
            <w:r>
              <w:rPr>
                <w:sz w:val="17"/>
              </w:rPr>
              <w:t xml:space="preserve">Предварительная оценка Исполнителя по геометрии и аналогам; задана диапазоном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Принимается верхняя граница диапазона</w:t>
            </w:r>
          </w:p>
        </w:tc>
        <w:tc>
          <w:tcPr>
            <w:tcW w:w="3154" w:type="dxa"/>
          </w:tcPr>
          <w:p>
            <w:r>
              <w:rPr>
                <w:sz w:val="17"/>
              </w:rPr>
              <w:t xml:space="preserve">Уточняется по опросным листам и техническим предложениям</w:t>
            </w:r>
          </w:p>
        </w:tc>
      </w:tr>
      <w:tr>
        <w:trPr>
          <w:cantSplit/>
        </w:trPr>
        <w:tc>
          <w:tcPr>
            <w:tcW w:w="1100" w:type="dxa"/>
          </w:tcPr>
          <w:p>
            <w:r>
              <w:rPr>
                <w:sz w:val="17"/>
              </w:rPr>
              <w:t xml:space="preserve">Г</w:t>
            </w:r>
          </w:p>
        </w:tc>
        <w:tc>
          <w:tcPr>
            <w:tcW w:w="2700" w:type="dxa"/>
          </w:tcPr>
          <w:p>
            <w:r>
              <w:rPr>
                <w:sz w:val="17"/>
              </w:rPr>
              <w:t xml:space="preserve">Характеристика изготовителем не задана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Резервируются место установки и предельная масса</w:t>
            </w:r>
          </w:p>
        </w:tc>
        <w:tc>
          <w:tcPr>
            <w:tcW w:w="3154" w:type="dxa"/>
          </w:tcPr>
          <w:p>
            <w:r>
              <w:rPr>
                <w:sz w:val="17"/>
              </w:rPr>
              <w:t xml:space="preserve">Вносится по ТКП при выдаче строительного задания</w:t>
            </w:r>
          </w:p>
        </w:tc>
      </w:tr>
    </w:tbl>
    <w:p>
      <w:r>
        <w:rPr>
          <w:sz w:val="20"/>
        </w:rPr>
        <w:t xml:space="preserve">Общее правило выпуска: там, где значение задано диапазоном, в расчёт конструкций принимается верхняя граница диапазона; там, где значение не задано, в планах резервируются место установки и предельная масса, а расчёт выполняется повторно после получения данных изготовителя. Коэффициенты надёжности по нагрузке и сочетания принимаются по СП 20.13330: для оборудования с известной массой 1,05–1,2, для жидкости 1,2.</w:t>
      </w:r>
    </w:p>
    <w:p>
      <w:r>
        <w:rPr>
          <w:color w:val="555555"/>
          <w:sz w:val="18"/>
        </w:rPr>
        <w:t xml:space="preserve">Записи в графах ведомости: «по ТКП изготовителя» — характеристика в исходных данных не задана и уточняется по техническому предложению; «определяется на стадии БИ» — значение дают расчёты и решения текущей стадии; знак «—» — характеристика к позиции не применима.</w:t>
      </w:r>
    </w:p>
    <w:p>
      <w:pPr>
        <w:pStyle w:val="Heading2"/>
      </w:pPr>
      <w:r>
        <w:rPr>
          <w:b/>
          <w:sz w:val="24"/>
        </w:rPr>
        <w:t xml:space="preserve">1.3 Нормативная база расчёта нагрузок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66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  <w:tc>
          <w:tcPr>
            <w:tcW w:w="6654" w:type="dxa"/>
            <w:shd w:val="clear" w:fill="EFEFEF"/>
          </w:tcPr>
          <w:p>
            <w:r>
              <w:rPr>
                <w:b/>
                <w:sz w:val="15"/>
              </w:rPr>
              <w:t xml:space="preserve">Область применения в расчёте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20.13330.2016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Нагрузки и воздействия; сочетания, коэффициенты надёжности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26.13330 (актуальная редакция)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Фундаменты машин с динамическими нагрузками — центрифуги, насосы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16.13330.2017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Стальные конструкции этажерок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14.13330 (актуальная редакция)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Сейсмика 6 баллов — проверка необходимости мероприятий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2. Климатические, сейсмические и температурные воздействия</w:t>
      </w:r>
    </w:p>
    <w:p>
      <w:r>
        <w:rPr>
          <w:sz w:val="20"/>
        </w:rPr>
        <w:t xml:space="preserve">Условия площадки — промышленная площадка в городе Мончегорске Мурманской области — общие для всех лотов комплекса и принимаются по Техническому заданию и исходным данным Заказчика.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500"/>
        <w:gridCol w:w="5400"/>
        <w:gridCol w:w="1454"/>
      </w:tblGrid>
      <w:tr>
        <w:trPr>
          <w:tblHeader/>
          <w:cantSplit/>
        </w:trPr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Воздействие, условие</w:t>
            </w:r>
          </w:p>
        </w:tc>
        <w:tc>
          <w:tcPr>
            <w:tcW w:w="5400" w:type="dxa"/>
            <w:shd w:val="clear" w:fill="EFEFEF"/>
          </w:tcPr>
          <w:p>
            <w:r>
              <w:rPr>
                <w:b/>
                <w:sz w:val="15"/>
              </w:rPr>
              <w:t xml:space="preserve">Значение</w:t>
            </w:r>
          </w:p>
        </w:tc>
        <w:tc>
          <w:tcPr>
            <w:tcW w:w="14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Снеговая нагрузка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V снеговой район, S₀ = 3,2 кПа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2.9.3–2.9.4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Ветровая нагрузка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II ветровой район, W₀ = 0,30 кПа; зарегистрированный порыв 33 м/с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2.9.3–2.9.4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Сейсмичность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6 баллов по ОСР-2015-В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Температура наружного воздуха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Наиболее холодная пятидневка −34 °C (обеспеченность 0,98) и −30 °C (0,92); наиболее холодные сутки −40 °C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Отопительный период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271 сут при средней температуре −4,5 °C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Строительно-климатическая зона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IIА, субарктический климат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Грунтовые условия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Особые условия (мерзлота, просадочность, карст) не выявлены; инженерно-геологические изыскания пятна застройки — в составе БИ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2.9.6</w:t>
            </w:r>
          </w:p>
        </w:tc>
      </w:tr>
    </w:tbl>
    <w:p>
      <w:r>
        <w:rPr>
          <w:sz w:val="20"/>
        </w:rPr>
        <w:t xml:space="preserve">Оборудование размещается внутри существующего здания, климатические нагрузки на здание не изменяются. Снеговая и ветровая нагрузки учитываются только для новых наружных элементов — площадок и эстакад трубопроводов к градирне кислой системы оборотного водоснабжения. Сейсмическое воздействие 6 баллов: необходимость специальных мероприятий подтверждается для этажерок высотного оборудования — испарителей II ступеней и стояков барометрических конденсаторов.</w:t>
      </w:r>
    </w:p>
    <w:p>
      <w:pPr>
        <w:pStyle w:val="Heading1"/>
      </w:pPr>
      <w:r>
        <w:rPr>
          <w:b/>
          <w:sz w:val="28"/>
        </w:rPr>
        <w:t xml:space="preserve">3. Ведомость предварительных нагрузок от технологического оборудования</w:t>
      </w:r>
    </w:p>
    <w:p>
      <w:r>
        <w:rPr>
          <w:sz w:val="20"/>
        </w:rPr>
        <w:t xml:space="preserve">Ведомость составлена по перечню основного и вспомогательного технологического оборудования лота. Массы приведены в тоннах: «пустого» — масса оборудования без заполнения, «рабочая» — масса в рабочем состоянии с материалом, раствором или водой. Статическая нагрузка приведена в единицах источника; при отсутствии данных изготовителя указан порядок уточнения. Графа динамической составляющей заполняется для всех позиций: для машин с вращающимися частями — с указанием частоты возмущения, для остальных — с указанием принятого коэффициента динамичности либо отсутствия динамики.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1630"/>
        <w:gridCol w:w="1350"/>
        <w:gridCol w:w="1554"/>
        <w:gridCol w:w="1300"/>
        <w:gridCol w:w="1450"/>
        <w:gridCol w:w="155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5"/>
              </w:rPr>
              <w:t xml:space="preserve">Поз.</w:t>
            </w:r>
          </w:p>
        </w:tc>
        <w:tc>
          <w:tcPr>
            <w:tcW w:w="1630" w:type="dxa"/>
            <w:shd w:val="clear" w:fill="EFEFEF"/>
          </w:tcPr>
          <w:p>
            <w:r>
              <w:rPr>
                <w:b/>
                <w:sz w:val="15"/>
              </w:rPr>
              <w:t xml:space="preserve">Наименование, тип</w:t>
            </w:r>
          </w:p>
        </w:tc>
        <w:tc>
          <w:tcPr>
            <w:tcW w:w="1350" w:type="dxa"/>
            <w:shd w:val="clear" w:fill="EFEFEF"/>
          </w:tcPr>
          <w:p>
            <w:r>
              <w:rPr>
                <w:b/>
                <w:sz w:val="15"/>
              </w:rPr>
              <w:t xml:space="preserve">Отметка, место установки</w:t>
            </w:r>
          </w:p>
        </w:tc>
        <w:tc>
          <w:tcPr>
            <w:tcW w:w="1554" w:type="dxa"/>
            <w:shd w:val="clear" w:fill="EFEFEF"/>
          </w:tcPr>
          <w:p>
            <w:r>
              <w:rPr>
                <w:b/>
                <w:sz w:val="15"/>
              </w:rPr>
              <w:t xml:space="preserve">Масса, т: пустого / рабочая</w:t>
            </w:r>
          </w:p>
        </w:tc>
        <w:tc>
          <w:tcPr>
            <w:tcW w:w="1300" w:type="dxa"/>
            <w:shd w:val="clear" w:fill="EFEFEF"/>
          </w:tcPr>
          <w:p>
            <w:r>
              <w:rPr>
                <w:b/>
                <w:sz w:val="15"/>
              </w:rPr>
              <w:t xml:space="preserve">Тип опирания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5"/>
              </w:rPr>
              <w:t xml:space="preserve">Статическая нагрузка</w:t>
            </w:r>
          </w:p>
        </w:tc>
        <w:tc>
          <w:tcPr>
            <w:tcW w:w="1550" w:type="dxa"/>
            <w:shd w:val="clear" w:fill="EFEFEF"/>
          </w:tcPr>
          <w:p>
            <w:r>
              <w:rPr>
                <w:b/>
                <w:sz w:val="15"/>
              </w:rPr>
              <w:t xml:space="preserve">Динамическая составляющая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Кристаллизация медного купороса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Испаритель I ступени (выпарной аппарат)</w:t>
            </w:r>
          </w:p>
          <w:p>
            <w:r>
              <w:rPr>
                <w:color w:val="666666"/>
                <w:sz w:val="13"/>
              </w:rPr>
              <w:t xml:space="preserve">УУСС: испаритель EV-2 с выносным нагревателем; поз. 4.1.1 по ИД; кол-во: 1 (1 нитка)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 отметки ≈0…+1 до +10…+12 (высота корпуса 9–12 м при D 2,0 м)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8–15 при интегральной поставке (ориентировочно)</w:t>
            </w:r>
          </w:p>
          <w:p>
            <w:r>
              <w:rPr>
                <w:sz w:val="14"/>
              </w:rPr>
              <w:t xml:space="preserve">Рабочая: ≈45 содержимого (34,5 м³ × 1,3 т/м³) плюс корпус</w:t>
            </w:r>
          </w:p>
          <w:p>
            <w:r>
              <w:rPr>
                <w:color w:val="666666"/>
                <w:sz w:val="13"/>
              </w:rPr>
              <w:t xml:space="preserve">Источник: Расчёт КВАНТ; ИД ч.2 рис. 4.4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Опорные лапы или юбка на постамент; узел — по данным изготовителя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≈550–650 кН на аппарат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Нет; случай гидроиспытания перекрыт рабочим (примечание 1)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2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Испаритель II ступени (выпарной аппарат)</w:t>
            </w:r>
          </w:p>
          <w:p>
            <w:r>
              <w:rPr>
                <w:color w:val="666666"/>
                <w:sz w:val="13"/>
              </w:rPr>
              <w:t xml:space="preserve">поз. 4.1.2 по ИД;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Этажерка II ступеней, низ конуса ≈+8…+9 (столб солевой колонны 7,0–7,9 м)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8–15 (унифицирован с аппаратом I ступени, 34,5 м³)</w:t>
            </w:r>
          </w:p>
          <w:p>
            <w:r>
              <w:rPr>
                <w:sz w:val="14"/>
              </w:rPr>
              <w:t xml:space="preserve">Рабочая: ≈45 содержимого плюс корпус</w:t>
            </w:r>
          </w:p>
          <w:p>
            <w:r>
              <w:rPr>
                <w:color w:val="666666"/>
                <w:sz w:val="13"/>
              </w:rPr>
              <w:t xml:space="preserve">Источник: Расчёт КВАНТ; ИД ч.2 рис. 4.4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Опорные лапы на балки этажерки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≈550–650 кН на аппарат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3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Паровой эжектор</w:t>
            </w:r>
          </w:p>
          <w:p>
            <w:r>
              <w:rPr>
                <w:color w:val="666666"/>
                <w:sz w:val="13"/>
              </w:rPr>
              <w:t xml:space="preserve">поз. 4.1.2 по ИД;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Линия сокового пара II ступени у этажерки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ИД ч.2 рис. 4.4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Нагрузка передаётся на опоры трубопроводов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Учитывается в нагрузке на опоры паропровода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4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Барометрический конденсатор</w:t>
            </w:r>
          </w:p>
          <w:p>
            <w:r>
              <w:rPr>
                <w:color w:val="666666"/>
                <w:sz w:val="13"/>
              </w:rPr>
              <w:t xml:space="preserve">поз. 4.1.3 по ИД;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Верх +11,0…+11,5; гидрозатвор в приямке −1,5…−2,0; труба 10,5 м, Ду 350–400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изготовителя, с водой в корпусе и трубе (≈1,0 м³)</w:t>
            </w:r>
          </w:p>
          <w:p>
            <w:r>
              <w:rPr>
                <w:color w:val="666666"/>
                <w:sz w:val="13"/>
              </w:rPr>
              <w:t xml:space="preserve">Источник: Расчёт КВАНТ; ИД ч.2 рис. 4.4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Корпус и стояк на опорах у колонн; гидрозатвор — в кислотостойком приямке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≈60–90 кН на фундамент гидрозатвора; узловые связи стояка ≈5–10 кН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Нет; учитывается изменение нагрузки при пуске и срыве вакуума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Репульпатор (реактор с мешалкой)</w:t>
            </w:r>
          </w:p>
          <w:p>
            <w:r>
              <w:rPr>
                <w:color w:val="666666"/>
                <w:sz w:val="13"/>
              </w:rPr>
              <w:t xml:space="preserve">поз. 4.1.4 по ИД;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Отметка 0,000 под этажеркой испарителей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Заполнение 2,0 м³ пульпы (ρ 1,3–1,45 т/м³) плюс корпус</w:t>
            </w:r>
          </w:p>
          <w:p>
            <w:r>
              <w:rPr>
                <w:color w:val="666666"/>
                <w:sz w:val="13"/>
              </w:rPr>
              <w:t xml:space="preserve">Источник: ИД ч.2 рис. 4.4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Опорные лапы на плиту пола либо рама в поддоне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заполнению и массе корпуса — 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Тихоходная мешалка; коэффициент 1,1–1,2 (предварительно)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Бак маточника</w:t>
            </w:r>
          </w:p>
          <w:p>
            <w:r>
              <w:rPr>
                <w:color w:val="666666"/>
                <w:sz w:val="13"/>
              </w:rPr>
              <w:t xml:space="preserve">поз. 4.1.5 по ИД;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Отметка 0,000, в поддоне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Заполнение 1,0 м³ раствора плюс корпус</w:t>
            </w:r>
          </w:p>
          <w:p>
            <w:r>
              <w:rPr>
                <w:color w:val="666666"/>
                <w:sz w:val="13"/>
              </w:rPr>
              <w:t xml:space="preserve">Источник: ИД ч.2 рис. 4.4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Опорные лапы на плиту пола в поддоне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заполнению и массе корпуса — 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7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Пульсирующая (фильтрующая) центрифуга</w:t>
            </w:r>
          </w:p>
          <w:p>
            <w:r>
              <w:rPr>
                <w:color w:val="666666"/>
                <w:sz w:val="13"/>
              </w:rPr>
              <w:t xml:space="preserve">Фильтрующая центрифуга с пульсирующей выгрузкой; поз. 4.1.6 по ИД; кол-во: 2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Отметка 0,000, индивидуальные фундаменты или виброизолированные рамы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изготовителя, с загрузкой и промывной жидкостью</w:t>
            </w:r>
          </w:p>
          <w:p>
            <w:r>
              <w:rPr>
                <w:color w:val="666666"/>
                <w:sz w:val="13"/>
              </w:rPr>
              <w:t xml:space="preserve">Источник: ИД ч.2 рис. 4.4; расчёт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Фундамент, отстроенный от резонанса, либо виброизолированная рама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Вращающаяся машина, 1800 об/мин, 30 Гц; см. раздел 4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Растворение купороса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8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Репульпатор растворения купороса</w:t>
            </w:r>
          </w:p>
          <w:p>
            <w:r>
              <w:rPr>
                <w:color w:val="666666"/>
                <w:sz w:val="13"/>
              </w:rPr>
              <w:t xml:space="preserve">Два последовательных аппарата; поз. 4.1.7 по ИД; кол-во: 2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Отметка 0,000, два последовательных аппарата в поддоне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Заполнение 8,0 м³ каждый плюс корпус</w:t>
            </w:r>
          </w:p>
          <w:p>
            <w:r>
              <w:rPr>
                <w:color w:val="666666"/>
                <w:sz w:val="13"/>
              </w:rPr>
              <w:t xml:space="preserve">Источник: ИД ч.2 рис. 4.4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Опорные лапы на плиту пола в поддоне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заполнению и массе корпуса — 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Тихоходная мешалка; коэффициент 1,1–1,2 (предварительно)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Кристаллизация смешанного купороса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9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Испаритель I ступени</w:t>
            </w:r>
          </w:p>
          <w:p>
            <w:r>
              <w:rPr>
                <w:color w:val="666666"/>
                <w:sz w:val="13"/>
              </w:rPr>
              <w:t xml:space="preserve">поз. 4.1.23 по ИД;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Нитка смешанного купороса; корпус D 1,3 м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≈11,6 содержимого (8,9 м³ × 1,3 т/м³) плюс корпус</w:t>
            </w:r>
          </w:p>
          <w:p>
            <w:r>
              <w:rPr>
                <w:color w:val="666666"/>
                <w:sz w:val="13"/>
              </w:rPr>
              <w:t xml:space="preserve">Источник: Расчёт КВАНТ; ИД ч.2 рис. 4.5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Опорные лапы или юбка на постамент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≈160–200 кН на аппарат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10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Испаритель II ступени</w:t>
            </w:r>
          </w:p>
          <w:p>
            <w:r>
              <w:rPr>
                <w:color w:val="666666"/>
                <w:sz w:val="13"/>
              </w:rPr>
              <w:t xml:space="preserve">поз. 4.1.24 по ИД;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Этажерка II ступеней, низ конуса ≈+8…+9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≈11,6 содержимого плюс корпус</w:t>
            </w:r>
          </w:p>
          <w:p>
            <w:r>
              <w:rPr>
                <w:color w:val="666666"/>
                <w:sz w:val="13"/>
              </w:rPr>
              <w:t xml:space="preserve">Источник: Расчёт КВАНТ; ИД ч.2 рис. 4.5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Опорные лапы на балки этажерки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≈160–200 кН на аппарат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11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Паровой эжектор</w:t>
            </w:r>
          </w:p>
          <w:p>
            <w:r>
              <w:rPr>
                <w:color w:val="666666"/>
                <w:sz w:val="13"/>
              </w:rPr>
              <w:t xml:space="preserve">поз. 4.1.24 по ИД;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Линия сокового пара II ступени нитки смешанного купороса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ИД ч.2 рис. 4.5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Нагрузка передаётся на опоры трубопроводов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Учитывается в нагрузке на опоры паропровода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12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Барометрический конденсатор</w:t>
            </w:r>
          </w:p>
          <w:p>
            <w:r>
              <w:rPr>
                <w:color w:val="666666"/>
                <w:sz w:val="13"/>
              </w:rPr>
              <w:t xml:space="preserve">поз. 4.1.25 по ИД;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Стояк Ду 200–250 с гидрозатвором в приямке −1,5…−2,0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изготовителя, с водой в корпусе и трубе</w:t>
            </w:r>
          </w:p>
          <w:p>
            <w:r>
              <w:rPr>
                <w:color w:val="666666"/>
                <w:sz w:val="13"/>
              </w:rPr>
              <w:t xml:space="preserve">Источник: Расчёт БИ; ИД ч.2 рис. 4.5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Корпус на опорах у колонн; гидрозатвор — на фундаменте в приямке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определяется на стадии БИ по данным изготовителя; ниже, чем по конденсатору нитки 1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13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Бак маточника 2</w:t>
            </w:r>
          </w:p>
          <w:p>
            <w:r>
              <w:rPr>
                <w:color w:val="666666"/>
                <w:sz w:val="13"/>
              </w:rPr>
              <w:t xml:space="preserve">поз. 4.1.26 по ИД;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Отметка 0,000, в поддоне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Заполнение 12,8 м³ раствора плюс корпус</w:t>
            </w:r>
          </w:p>
          <w:p>
            <w:r>
              <w:rPr>
                <w:color w:val="666666"/>
                <w:sz w:val="13"/>
              </w:rPr>
              <w:t xml:space="preserve">Источник: ИД ч.2 рис. 4.5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Опорные лапы на плиту пола в поддоне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заполнению и массе корпуса — 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14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Репульпатор</w:t>
            </w:r>
          </w:p>
          <w:p>
            <w:r>
              <w:rPr>
                <w:color w:val="666666"/>
                <w:sz w:val="13"/>
              </w:rPr>
              <w:t xml:space="preserve">поз. 4.1.27 по ИД; кол-во: 1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Отметка 0,000, в поддоне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Заполнение 1,0 м³ плюс корпус</w:t>
            </w:r>
          </w:p>
          <w:p>
            <w:r>
              <w:rPr>
                <w:color w:val="666666"/>
                <w:sz w:val="13"/>
              </w:rPr>
              <w:t xml:space="preserve">Источник: ИД ч.2 рис. 4.5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Опорные лапы на плиту пола в поддоне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заполнению и массе корпуса — 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Тихоходная мешалка; коэффициент 1,1–1,2 (предварительно)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15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Пульсирующая (фильтрующая) центрифуга</w:t>
            </w:r>
          </w:p>
          <w:p>
            <w:r>
              <w:rPr>
                <w:color w:val="666666"/>
                <w:sz w:val="13"/>
              </w:rPr>
              <w:t xml:space="preserve">Фильтрующая центрифуга с пульсирующей выгрузкой; поз. 4.1.28 по ИД; кол-во: 2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Отметка 0,000, индивидуальные фундаменты или виброизолированные рамы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ИД ч.2 рис. 4.5; расчёт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Фундамент, отстроенный от резонанса, либо виброизолированная рама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Вращающаяся машина, 1800 об/мин, 30 Гц; см. раздел 4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Кристаллизация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16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Пароэжекторный блок (ПЭБ)</w:t>
            </w:r>
          </w:p>
          <w:p>
            <w:r>
              <w:rPr>
                <w:color w:val="666666"/>
                <w:sz w:val="13"/>
              </w:rPr>
              <w:t xml:space="preserve">Эжектор + конденсатор ПЭБ + вакуум-насос; поз. поз. 6 рис. 4.4/4.5 по ИД; кол-во: по 1 на нитку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Отметка 0,000, рама у конденсаторного узла нитки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ИД ч.2 рис. 4.4/4.5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Виброизолированная рама на плите пола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Водокольцевой вакуум-насос: вращающаяся машина малой мощности; см. раздел 4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17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Насосы циркуляции испарителей, 633 и 251 м³/ч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Отметка 0,000 у аппаратов ниток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ИД ч.2 рис. 4.4; решение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Рамные фундаменты с виброизоляцией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Менее 30 кН на фундамент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Вращающиеся машины; нагрузки малые, данные по ТКП; см. раздел 4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Фасовка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18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Оборудование фасовки, пробоотбора и коммерческого учёта медно-никелевого купороса</w:t>
            </w:r>
          </w:p>
          <w:p>
            <w:r>
              <w:rPr>
                <w:color w:val="666666"/>
                <w:sz w:val="13"/>
              </w:rPr>
              <w:t xml:space="preserve">кол-во: Комплект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Отметка 0,000, зона фасовки с проездом электропогрузчика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изготовителя, с заполненной тарой</w:t>
            </w:r>
          </w:p>
          <w:p>
            <w:r>
              <w:rPr>
                <w:color w:val="666666"/>
                <w:sz w:val="13"/>
              </w:rPr>
              <w:t xml:space="preserve">Источник: ТЗ п. 4.4; компоновка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Опоры на плиту пола; весовое оборудование — на жёстком основании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ТКП; дополнительно нагрузка от складирования тары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Тихоходный привод; коэффициент динамичности 1,1–1,2 (предварительно)</w:t>
            </w:r>
          </w:p>
        </w:tc>
      </w:tr>
    </w:tbl>
    <w:p>
      <w:r>
        <w:rPr>
          <w:color w:val="555555"/>
          <w:sz w:val="17"/>
        </w:rPr>
        <w:t xml:space="preserve">Все значения ведомости предварительные и подлежат подтверждению по опросным листам и техническим предложениям изготовителей; коэффициенты, отмеченные как предварительные, приняты решением стадии БИ до получения паспортных данных.</w:t>
      </w:r>
    </w:p>
    <w:p>
      <w:pPr>
        <w:pStyle w:val="Heading2"/>
      </w:pPr>
      <w:r>
        <w:rPr>
          <w:b/>
          <w:sz w:val="24"/>
        </w:rPr>
        <w:t xml:space="preserve">3.1 Примечания к ведомости</w:t>
      </w:r>
    </w:p>
    <w:p>
      <w:r>
        <w:rPr>
          <w:sz w:val="20"/>
        </w:rPr>
        <w:t xml:space="preserve">1. Полный налив испарителя нитки медного купороса водой при гидроиспытании даёт 34,5 т, что ниже расчётного рабочего заполнения пульпой (34,5 м³ × 1,3 т/м³ ≈ 45 т): испытательный случай перекрыт рабочим расчётом фундаментов и отдельного усиления не требует.</w:t>
      </w:r>
    </w:p>
    <w:p>
      <w:r>
        <w:rPr>
          <w:sz w:val="20"/>
        </w:rPr>
        <w:t xml:space="preserve">2. Высотная посадка барометрических конденсаторов определяется заглублением гидрозатворов: потребная вертикаль от уровня воды в гидрозатворе до верха конденсатора 12,5–13,0 м (труба 10,5 м и корпус 2,0–2,5 м). При гидрозатворе на нулевой отметке схема в существующем здании не размещается, при заглублении на 2,0–2,5 м размещается с запасом не менее 0,9 м.</w:t>
      </w:r>
    </w:p>
    <w:p>
      <w:r>
        <w:rPr>
          <w:sz w:val="20"/>
        </w:rPr>
        <w:t xml:space="preserve">3. Массы аппаратов в исполнении из стали 904L приведены ориентировочно для интегральной поставки и уточняются по опросным листам изготовителей; корпуса, подогреватель 63 м² и конденсаторы поставляются разными комплектами.</w:t>
      </w:r>
    </w:p>
    <w:p>
      <w:r>
        <w:rPr>
          <w:sz w:val="20"/>
        </w:rPr>
        <w:t xml:space="preserve">4. Размещение оборудования на существующих перекрытиях +5,000 и +6,000 и передача нагрузок этажерки на существующие ростверки допускаются только после поверочного расчёта по результатам обследования.</w:t>
      </w:r>
    </w:p>
    <w:p>
      <w:pPr>
        <w:pStyle w:val="Heading2"/>
      </w:pPr>
      <w:r>
        <w:rPr>
          <w:b/>
          <w:sz w:val="24"/>
        </w:rPr>
        <w:t xml:space="preserve">3.2 Прочие нагрузки и воздействия</w:t>
      </w:r>
    </w:p>
    <w:p>
      <w:r>
        <w:rPr>
          <w:sz w:val="20"/>
        </w:rPr>
        <w:t xml:space="preserve">В таблице приведены нагрузки, не отнесённые к отдельным единицам оборудования: нагрузки от трубопроводов и газоходов, крановые, полезные нагрузки перекрытий, монтажные и ремонтные воздействия.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00"/>
        <w:gridCol w:w="1750"/>
        <w:gridCol w:w="1900"/>
        <w:gridCol w:w="2200"/>
        <w:gridCol w:w="1950"/>
        <w:gridCol w:w="1154"/>
      </w:tblGrid>
      <w:tr>
        <w:trPr>
          <w:tblHeader/>
          <w:cantSplit/>
        </w:trPr>
        <w:tc>
          <w:tcPr>
            <w:tcW w:w="400" w:type="dxa"/>
            <w:shd w:val="clear" w:fill="EFEFEF"/>
          </w:tcPr>
          <w:p>
            <w:r>
              <w:rPr>
                <w:b/>
                <w:sz w:val="15"/>
              </w:rPr>
              <w:t xml:space="preserve">№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5"/>
              </w:rPr>
              <w:t xml:space="preserve">Воздействие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Место приложения</w:t>
            </w:r>
          </w:p>
        </w:tc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Предварительное значение</w:t>
            </w:r>
          </w:p>
        </w:tc>
        <w:tc>
          <w:tcPr>
            <w:tcW w:w="1950" w:type="dxa"/>
            <w:shd w:val="clear" w:fill="EFEFEF"/>
          </w:tcPr>
          <w:p>
            <w:r>
              <w:rPr>
                <w:b/>
                <w:sz w:val="15"/>
              </w:rPr>
              <w:t xml:space="preserve">Учёт в расчёте</w:t>
            </w:r>
          </w:p>
        </w:tc>
        <w:tc>
          <w:tcPr>
            <w:tcW w:w="11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1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Нагрузка на существующие перекрытия +5,000 и +6,000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Плиты в зоне баков питания и фугата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Локально 15–30 кПа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Размещение допускается только после поверочного расчёта существующих плит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Оценка БИ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2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Нагрузка от этажерки испарителей II ступеней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Существующие ростверки либо самостоятельные фундаменты этажерки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Сумма нагрузок аппаратов II ступеней и собственного веса этажерки (отметка +8…+9)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Передача на существующие ростверки — только после поверочного расчёта; при дефиците несущей способности выполняются самостоятельные фундаменты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Решение БИ; СП 16.13330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3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Боковое давление грунта и подъёмная сила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Стены и днища приямков гидрозатворов глубиной 2,0–2,5 м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Расчёт стен на боковое давление; пригрузка или анкеровка от всплытия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Уровень грунтовых вод подтверждается изысканиями; на площадке действует пластовый дренаж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Решение БИ; СП 45.13330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4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Крановая нагрузка существующих мостовых кранов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Подкрановые пути, верх рельсов +10,000 и +10,500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Грузоподъёмность 5 и 7,5 т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Крановые нагрузки остаются в существующем объёме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Прил. №7 к ТЗ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Монтажные нагрузки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Монтажные проёмы и зона укрупнительной сборки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Наибольшая неделимая часть 8–15 т (ориентировочно)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Существующие краны такую массу не поднимают: укрупнительная сборка из частей до 5–7,5 т либо мобильный кран через проём; для нового корпуса г/п крана не ниже 15 т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Оценка БИ; прил. №7 к ТЗ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Нагрузки на наружные элементы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Площадки и эстакады трубопроводов к градирне кислой системы оборотного водоснабжения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Снеговая 3,2 кПа, ветровая 0,30 кПа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Учитываются только для новых наружных конструкций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ТЗ п. 2.9.3–2.9.4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3.3 Сводка определяющих нагрузок лота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000"/>
        <w:gridCol w:w="4900"/>
        <w:gridCol w:w="1454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5"/>
              </w:rPr>
              <w:t xml:space="preserve">Показатель</w:t>
            </w:r>
          </w:p>
        </w:tc>
        <w:tc>
          <w:tcPr>
            <w:tcW w:w="4900" w:type="dxa"/>
            <w:shd w:val="clear" w:fill="EFEFEF"/>
          </w:tcPr>
          <w:p>
            <w:r>
              <w:rPr>
                <w:b/>
                <w:sz w:val="15"/>
              </w:rPr>
              <w:t xml:space="preserve">Предварительное значение</w:t>
            </w:r>
          </w:p>
        </w:tc>
        <w:tc>
          <w:tcPr>
            <w:tcW w:w="14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Наибольшая нагрузка от аппарата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≈550–650 кН на испаритель нитки медного купороса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Расчёт КВАНТ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Нагрузка от аппарата нитки смешанного купороса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≈160–200 кН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Расчёт КВАНТ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Нагрузка на фундамент гидрозатвора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≈60–90 кН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Расчёт КВАНТ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Локальная нагрузка на существующие перекрытия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15–30 кПа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Оценка БИ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Наибольшая неделимая монтажная единица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8–15 т (ориентировочно)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Оценка БИ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4. Динамические нагрузки</w:t>
      </w:r>
    </w:p>
    <w:p>
      <w:r>
        <w:rPr>
          <w:sz w:val="20"/>
        </w:rPr>
        <w:t xml:space="preserve">Единственные машины с существенной динамикой на участке — пульсирующие фильтрующие центрифуги; насосы и вакуум-насосы дают нагрузки малой амплитуды. Фундаменты центрифуг рассчитываются по СП 26.13330 с отстройкой от резонанса; неуравновешенные силы принимаются по паспорту изготовителя.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80"/>
        <w:gridCol w:w="1800"/>
        <w:gridCol w:w="1250"/>
        <w:gridCol w:w="1000"/>
        <w:gridCol w:w="2200"/>
        <w:gridCol w:w="2724"/>
      </w:tblGrid>
      <w:tr>
        <w:trPr>
          <w:tblHeader/>
          <w:cantSplit/>
        </w:trPr>
        <w:tc>
          <w:tcPr>
            <w:tcW w:w="380" w:type="dxa"/>
            <w:shd w:val="clear" w:fill="EFEFEF"/>
          </w:tcPr>
          <w:p>
            <w:r>
              <w:rPr>
                <w:b/>
                <w:sz w:val="15"/>
              </w:rPr>
              <w:t xml:space="preserve">№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5"/>
              </w:rPr>
              <w:t xml:space="preserve">Машина, воздействие</w:t>
            </w:r>
          </w:p>
        </w:tc>
        <w:tc>
          <w:tcPr>
            <w:tcW w:w="1250" w:type="dxa"/>
            <w:shd w:val="clear" w:fill="EFEFEF"/>
          </w:tcPr>
          <w:p>
            <w:r>
              <w:rPr>
                <w:b/>
                <w:sz w:val="15"/>
              </w:rPr>
              <w:t xml:space="preserve">Частота возмущения</w:t>
            </w:r>
          </w:p>
        </w:tc>
        <w:tc>
          <w:tcPr>
            <w:tcW w:w="1000" w:type="dxa"/>
            <w:shd w:val="clear" w:fill="EFEFEF"/>
          </w:tcPr>
          <w:p>
            <w:r>
              <w:rPr>
                <w:b/>
                <w:sz w:val="15"/>
              </w:rPr>
              <w:t xml:space="preserve">Масса, т</w:t>
            </w:r>
          </w:p>
        </w:tc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Характер воздействия</w:t>
            </w:r>
          </w:p>
        </w:tc>
        <w:tc>
          <w:tcPr>
            <w:tcW w:w="2724" w:type="dxa"/>
            <w:shd w:val="clear" w:fill="EFEFEF"/>
          </w:tcPr>
          <w:p>
            <w:r>
              <w:rPr>
                <w:b/>
                <w:sz w:val="15"/>
              </w:rPr>
              <w:t xml:space="preserve">Предварительное требование к фундаменту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Центрифуги пульсирующие фильтрующие</w:t>
            </w:r>
          </w:p>
          <w:p>
            <w:r>
              <w:rPr>
                <w:color w:val="666666"/>
                <w:sz w:val="13"/>
              </w:rPr>
              <w:t xml:space="preserve">4 шт. (по 2 на нитку)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1800 об/мин — 30 Гц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Периодическая вынуждающая сила от неуравновешенных масс ротора; пульсирующая выгрузка добавляет знакопеременную составляющую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Индивидуальные фундаменты либо виброизолированные рамы, отстроенные от резонанса (предварительно не менее ±25 % от рабочей частоты); неуравновешенные силы и допускаемые амплитуды — по паспорту изготовителя; расчёт по СП 26.13330</w:t>
            </w:r>
          </w:p>
          <w:p>
            <w:r>
              <w:rPr>
                <w:color w:val="666666"/>
                <w:sz w:val="13"/>
              </w:rPr>
              <w:t xml:space="preserve">Источник: ИД ч.2 рис. 4.4/4.5; расчёт БИ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Насосы циркуляции испарителей</w:t>
            </w:r>
          </w:p>
          <w:p>
            <w:r>
              <w:rPr>
                <w:color w:val="666666"/>
                <w:sz w:val="13"/>
              </w:rPr>
              <w:t xml:space="preserve">По схемам ниток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Периодическая вынуждающая сила малой амплитуды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Рамные фундаменты с виброизоляцией; нагрузки менее 30 кН</w:t>
            </w:r>
          </w:p>
          <w:p>
            <w:r>
              <w:rPr>
                <w:color w:val="666666"/>
                <w:sz w:val="13"/>
              </w:rPr>
              <w:t xml:space="preserve">Источник: ИД ч.2 рис. 4.4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Вакуум-насосы пароэжекторных блоков</w:t>
            </w:r>
          </w:p>
          <w:p>
            <w:r>
              <w:rPr>
                <w:color w:val="666666"/>
                <w:sz w:val="13"/>
              </w:rPr>
              <w:t xml:space="preserve">По одному на нитку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Периодическая вынуждающая сила малой амплитуды (водокольцевая машина)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Виброизолированная рама на плите пола</w:t>
            </w:r>
          </w:p>
          <w:p>
            <w:r>
              <w:rPr>
                <w:color w:val="666666"/>
                <w:sz w:val="13"/>
              </w:rPr>
              <w:t xml:space="preserve">Источник: ИД ч.2 рис. 4.4/4.5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4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Мешалки репульпаторов и баков</w:t>
            </w:r>
          </w:p>
          <w:p>
            <w:r>
              <w:rPr>
                <w:color w:val="666666"/>
                <w:sz w:val="13"/>
              </w:rPr>
              <w:t xml:space="preserve">Комплект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Тихоходные приводы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Малые динамические добавки к статической нагрузке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Коэффициент динамичности 1,1–1,2 (предварительно)</w:t>
            </w:r>
          </w:p>
          <w:p>
            <w:r>
              <w:rPr>
                <w:color w:val="666666"/>
                <w:sz w:val="13"/>
              </w:rPr>
              <w:t xml:space="preserve">Источник: Решение БИ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Существующие мостовые краны</w:t>
            </w:r>
          </w:p>
          <w:p>
            <w:r>
              <w:rPr>
                <w:color w:val="666666"/>
                <w:sz w:val="13"/>
              </w:rPr>
              <w:t xml:space="preserve">2 шт.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Циклы подъёма и торможения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5 и 7,5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Вертикальные динамические и горизонтальные тормозные силы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Крановые нагрузки не увеличиваются; коэффициенты по СП 20.13330</w:t>
            </w:r>
          </w:p>
          <w:p>
            <w:r>
              <w:rPr>
                <w:color w:val="666666"/>
                <w:sz w:val="13"/>
              </w:rPr>
              <w:t xml:space="preserve">Источник: Прил. №7 к ТЗ</w:t>
            </w:r>
          </w:p>
        </w:tc>
      </w:tr>
    </w:tbl>
    <w:p>
      <w:r>
        <w:rPr>
          <w:color w:val="555555"/>
          <w:sz w:val="17"/>
        </w:rPr>
        <w:t xml:space="preserve">Коэффициенты динамичности, массы фундаментных блоков и границы отстройки частот, приведённые выше, предварительные: они приняты решением стадии БИ до получения паспортных динамических данных изготовителей и подлежат подтверждению расчётом амплитуд после выбора машин.</w:t>
      </w:r>
    </w:p>
    <w:p>
      <w:pPr>
        <w:pStyle w:val="Heading2"/>
      </w:pPr>
      <w:r>
        <w:rPr>
          <w:b/>
          <w:sz w:val="24"/>
        </w:rPr>
        <w:t xml:space="preserve">4.1 Общие требования к фундаментам машин с динамическими нагрузками</w:t>
      </w:r>
    </w:p>
    <w:p>
      <w:r>
        <w:rPr>
          <w:sz w:val="20"/>
        </w:rPr>
        <w:t xml:space="preserve">— Фундамент машины отделяется от плиты пола и от каркаса здания сквозным швом; передача вибраций на несущие конструкции и на технологические тракты исключается.</w:t>
      </w:r>
    </w:p>
    <w:p>
      <w:r>
        <w:rPr>
          <w:sz w:val="20"/>
        </w:rPr>
        <w:t xml:space="preserve">— Присоединение трубопроводов и газоходов выполняется через мягкие вставки или линзовые компенсаторы — исключается передача вибрации на тракт и обратное воздействие тракта на опоры машины.</w:t>
      </w:r>
    </w:p>
    <w:p>
      <w:r>
        <w:rPr>
          <w:sz w:val="20"/>
        </w:rPr>
        <w:t xml:space="preserve">— Собственные частоты фундамента отстраиваются от частоты возмущения не менее чем на ±25 % (предварительно); амплитуды колебаний опор — не выше допускаемых по СП 26.13330.</w:t>
      </w:r>
    </w:p>
    <w:p>
      <w:r>
        <w:rPr>
          <w:sz w:val="20"/>
        </w:rPr>
        <w:t xml:space="preserve">— Класс балансировки роторов G6.3 задаётся в опросных листах на машины с вращающимися частями; выверка соосности валов при монтаже — лазерной центровкой, подливка — безусадочными составами.</w:t>
      </w:r>
    </w:p>
    <w:p>
      <w:r>
        <w:rPr>
          <w:sz w:val="20"/>
        </w:rPr>
        <w:t xml:space="preserve">— Предусматриваются штатные точки вибромониторинга машин с интеграцией в АСУТП; уровни вибрации на рабочих местах — по ГОСТ 12.1.012-2004.</w:t>
      </w:r>
    </w:p>
    <w:p>
      <w:pPr>
        <w:pStyle w:val="Heading1"/>
      </w:pPr>
      <w:r>
        <w:rPr>
          <w:b/>
          <w:sz w:val="28"/>
        </w:rPr>
        <w:t xml:space="preserve">5. Требования к строительной части</w:t>
      </w:r>
    </w:p>
    <w:p>
      <w:r>
        <w:rPr>
          <w:sz w:val="20"/>
        </w:rPr>
        <w:t xml:space="preserve">Требования настоящего раздела выдаются строительному разделу как задание. Они определяют конструктивные элементы, без которых приведённые нагрузки не могут быть восприняты либо оборудование не может быть смонтировано и обслужено.</w:t>
      </w:r>
    </w:p>
    <w:p>
      <w:r>
        <w:rPr>
          <w:b/>
          <w:sz w:val="21"/>
        </w:rPr>
        <w:t xml:space="preserve">Приямки гидрозатворов</w:t>
      </w:r>
    </w:p>
    <w:p>
      <w:r>
        <w:rPr>
          <w:sz w:val="20"/>
        </w:rPr>
        <w:t xml:space="preserve">Приямки глубиной 2,0–2,5 м под гидрозатворы барометрических конденсаторов выполняются в кислотостойком исполнении (кислая система оборотного водоснабжения — до 0,5 г/л серной кислоты), с расчётом стен на боковое давление и пригрузкой или анкеровкой от всплытия по уровню грунтовых вод. В здании на свайных ростверках приямки выполняются между ростверками — решение подтверждается обследованием и расчётом.</w:t>
      </w:r>
    </w:p>
    <w:p>
      <w:r>
        <w:rPr>
          <w:b/>
          <w:sz w:val="21"/>
        </w:rPr>
        <w:t xml:space="preserve">Этажерки и перекрытия</w:t>
      </w:r>
    </w:p>
    <w:p>
      <w:r>
        <w:rPr>
          <w:sz w:val="20"/>
        </w:rPr>
        <w:t xml:space="preserve">Этажерка испарителей II ступеней на отметке +8…+9 — стальная по СП 16.13330; передача нагрузок на существующие ростверки допускается только после поверочного расчёта, при дефиците несущей способности выполняются самостоятельные фундаменты этажерки. Размещение баков питания и фугата на перекрытиях +5,000 и +6,000 — только после поверочного расчёта существующих плит.</w:t>
      </w:r>
    </w:p>
    <w:p>
      <w:r>
        <w:rPr>
          <w:b/>
          <w:sz w:val="21"/>
        </w:rPr>
        <w:t xml:space="preserve">Высота помещения</w:t>
      </w:r>
    </w:p>
    <w:p>
      <w:r>
        <w:rPr>
          <w:sz w:val="20"/>
        </w:rPr>
        <w:t xml:space="preserve">Полнобарометрическая схема при гидрозатворе на нулевой отметке в существующем здании не размещается: потребная вертикаль 12,5–13,0 м при низе ферм около +12,4…+12,9. Для нового корпуса высота до низа ферм назначается не менее 13,5 м — схема размещается без приямков.</w:t>
      </w:r>
    </w:p>
    <w:p>
      <w:r>
        <w:rPr>
          <w:b/>
          <w:sz w:val="21"/>
        </w:rPr>
        <w:t xml:space="preserve">Виброфундаменты и полы</w:t>
      </w:r>
    </w:p>
    <w:p>
      <w:r>
        <w:rPr>
          <w:sz w:val="20"/>
        </w:rPr>
        <w:t xml:space="preserve">Индивидуальные фундаменты или виброизолированные рамы центрифуг выполняются до подачи крупногабаритного оборудования в пролёт. Полы участка — химстойкие, с уклонами и трапами; под аппаратами и баками предусматриваются поддоны.</w:t>
      </w:r>
    </w:p>
    <w:p>
      <w:r>
        <w:rPr>
          <w:b/>
          <w:sz w:val="21"/>
        </w:rPr>
        <w:t xml:space="preserve">Монтажные условия</w:t>
      </w:r>
    </w:p>
    <w:p>
      <w:r>
        <w:rPr>
          <w:sz w:val="20"/>
        </w:rPr>
        <w:t xml:space="preserve">Для наибольшей неделимой части 8–15 т предусматривается монтажный проём либо монтаж до закрытия кровли зоны; для нового корпуса грузоподъёмность кранового оборудования назначается не ниже 15 т.</w:t>
      </w:r>
    </w:p>
    <w:p>
      <w:pPr>
        <w:pStyle w:val="Heading1"/>
      </w:pPr>
      <w:r>
        <w:rPr>
          <w:b/>
          <w:sz w:val="28"/>
        </w:rPr>
        <w:t xml:space="preserve">6. Характеристики, уточняемые по техническим предложениям изготовителей</w:t>
      </w:r>
    </w:p>
    <w:p>
      <w:r>
        <w:rPr>
          <w:sz w:val="20"/>
        </w:rPr>
        <w:t xml:space="preserve">Позиции ведомости с записью «по ТКП изготовителя» уточняются в следующем порядке: опросный лист с обязательным перечнем запрашиваемых характеристик — техническое предложение изготовителя — строительное задание с окончательными нагрузками на узлы опирания — поверочный расчёт конструкций и фундаментов. Перечень характеристик, включаемых в опросные листы, приведён ниже.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00"/>
        <w:gridCol w:w="6954"/>
      </w:tblGrid>
      <w:tr>
        <w:trPr>
          <w:tblHeader/>
          <w:cantSplit/>
        </w:trPr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Группа данных</w:t>
            </w:r>
          </w:p>
        </w:tc>
        <w:tc>
          <w:tcPr>
            <w:tcW w:w="6954" w:type="dxa"/>
            <w:shd w:val="clear" w:fill="EFEFEF"/>
          </w:tcPr>
          <w:p>
            <w:r>
              <w:rPr>
                <w:b/>
                <w:sz w:val="15"/>
              </w:rPr>
              <w:t xml:space="preserve">Запрашиваемые характеристики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Массы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Масса пустого аппарата или машины, масса в рабочем состоянии, масса при гидроиспытании и при монтаже; масса наибольшей неразъёмной части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Геометрия опирания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Схема и число опор, координаты опор относительно осей, тип опорного узла (лапы, юбка, рама), координаты центра тяжести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Разложение нагрузок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Распределение нагрузок по опорам с разложением по осям X, Y, Z для режимов: монтаж, гидроиспытание, нормальная работа, аварийная загрузка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Коэффициенты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Коэффициенты надёжности по нагрузке и коэффициенты динамичности, принятые изготовителем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Динамические данные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Частоты вращения и вынуждающих сил, неуравновешенные силы и моменты, класс балансировки роторов, допускаемые амплитуды колебаний опор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Требования к основанию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Требования к жёсткости основания, допускаемые осадки и их неравномерность, допускаемые уклоны и перекосы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Анкеровка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Схема фундаментных болтов и закладных деталей, усилия затяжки, требования к подливке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Температурные условия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Тепловые перемещения опорных узлов, требования к подвижным опорам и компенсаторам</w:t>
            </w:r>
          </w:p>
        </w:tc>
      </w:tr>
    </w:tbl>
    <w:p>
      <w:r>
        <w:rPr>
          <w:sz w:val="20"/>
        </w:rPr>
        <w:t xml:space="preserve">До получения этих данных нагрузки настоящего документа используются как предварительные: конструктивные решения принимаются по верхней границе диапазонов, а в планах резервируются место установки, монтажные проёмы и предельная масса оборудования.</w:t>
      </w:r>
    </w:p>
    <w:p>
      <w:pPr>
        <w:pStyle w:val="Heading1"/>
      </w:pPr>
      <w:r>
        <w:rPr>
          <w:b/>
          <w:sz w:val="28"/>
        </w:rPr>
        <w:t xml:space="preserve">7. Форма представления нагрузок на планах</w:t>
      </w:r>
    </w:p>
    <w:p>
      <w:r>
        <w:rPr>
          <w:sz w:val="20"/>
        </w:rPr>
        <w:t xml:space="preserve">На планах строительных конструкций и фундаментов для каждого узла опирания оборудования приводится таблица нагрузок следующего состава. Форма единая для всех лотов выпуска; значения заполняются по ведомости настоящего документа и уточняются по мере получения данных изготовителей.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400"/>
        <w:gridCol w:w="7954"/>
      </w:tblGrid>
      <w:tr>
        <w:trPr>
          <w:tblHeader/>
          <w:cantSplit/>
        </w:trPr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Графа</w:t>
            </w:r>
          </w:p>
        </w:tc>
        <w:tc>
          <w:tcPr>
            <w:tcW w:w="7954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N пост.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Постоянная вертикальная нагрузка — собственный вес оборудования, футеровки и опорных конструкций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N длит.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Длительная вертикальная нагрузка от заполнения: материал, раствор, вода, пылевые отложения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N кратк.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Кратковременная нагрузка: обслуживание, ремонтные операции, монтажные и испытательные режимы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F дин.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Динамическая составляющая: амплитуда и частота вынуждающей силы, допускаемая амплитуда колебаний опоры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M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Момент от эксцентриситетов конусов, патрубков и присоединяемых трубопроводов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H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Горизонтальные усилия: тормозные, температурные, ветровые и сейсмические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Привязка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Привязка узла к осям и отметкам, схема фундаментных болтов и закладных деталей</w:t>
            </w:r>
          </w:p>
        </w:tc>
      </w:tr>
    </w:tbl>
    <w:p>
      <w:r>
        <w:rPr>
          <w:sz w:val="20"/>
        </w:rPr>
        <w:t xml:space="preserve">Дополнительно на планах указываются: привязка оборудования к разбивочным осям и отметкам, габариты опорных конструкций, зоны обслуживания и монтажные проёмы, границы конструктивно самостоятельных блоков и деформационных швов.</w:t>
      </w:r>
    </w:p>
    <w:p>
      <w:pPr>
        <w:pStyle w:val="Heading1"/>
      </w:pPr>
      <w:r>
        <w:rPr>
          <w:b/>
          <w:sz w:val="28"/>
        </w:rPr>
        <w:t xml:space="preserve">8. Открытые позиции</w:t>
      </w:r>
    </w:p>
    <w:p>
      <w:r>
        <w:rPr>
          <w:sz w:val="20"/>
        </w:rPr>
        <w:t xml:space="preserve">Ниже перечислено то, что на стадии Базового инжиниринга не может быть определено окончательно и требует данных Заказчика, изысканий, обследования либо технических предложений изготовителей. Каждая позиция закрывается до выдачи строительного задания.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Массы и центры тяжести аппаратов, неуравновешенные силы центрифуг — по опросным листам изготовителей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Поверочные расчёты существующих ростверков, перекрытий и каркаса — по результатам обследования (первый этап БИ)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Отметки низа несущих ферм существующего здания и возможность устройства приямков между ростверками — по обмерному обследованию первого этапа БИ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Массы выносного подогревателя 63 м², барометрических конденсаторов и вакуум-насосов — по опросным листам изготовителей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