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данные о тепловыделениях от поверхностей оборудования Лота №2 «Участок купороса» в помещения и о выделениях вредных веществ от оборудования в помещения, а также вытекающие из них исходные требования смежным разделам. Документ выполняет пункты состава Базового инжиниринга «тепловыделения от поверхностей оборудования в помещения цеха» и «выделение вредностей от оборудования в помещения цеха» Технического задания на Базовый инжиниринг ред. 4.1.</w:t>
      </w:r>
    </w:p>
    <w:p>
      <w:r>
        <w:rPr>
          <w:sz w:val="20"/>
        </w:rPr>
        <w:t xml:space="preserve">Приведённые данные являются исходными для разработки раздела отопления, вентиляции и кондиционирования воздуха (расчёт воздухообмена, подбор систем общеобменной и аварийной вентиляции, местных отсосов и отопления) и для разработки раздела охраны окружающей среды проектной документации (инвентаризация источников выбросов, расчёт рассеивания, нормативы допустимых выбросов). Оба раздела выполняются генеральным проектировщиком; настоящий документ данные для них формирует, но сами расчёты воздухообмена и рассеивания не содержит.</w:t>
      </w:r>
    </w:p>
    <w:p>
      <w:r>
        <w:rPr>
          <w:sz w:val="20"/>
        </w:rPr>
        <w:t xml:space="preserve">Участок получения медного и медно-никелевого купороса. Проработанный вариант размещения — существующее здание гидрометаллургического участка с заглублением гидрозатворов барометрических труб в приямки; базовый сценарий — новый корпус с высотой до низа ферм не менее 13,5 м. Определяющая особенность лота по настоящему разделу: аппаратный контур герметичен и работает под разрежением, поэтому постоянных выделений из аппаратов нет — выделения сосредоточены на узлах выгрузки центрифуг, фасовки продукта и пробоотбора, а тепловыделения ограничены потерями изолированных поверхностей выпарки.</w:t>
      </w:r>
    </w:p>
    <w:p>
      <w:r>
        <w:rPr>
          <w:color w:val="666666"/>
          <w:sz w:val="17"/>
        </w:rPr>
        <w:t xml:space="preserve">Источник: ИД ч.2 (табл. 3.1 — параметры потоков и тепловые нагрузки, рис. 4.4 и 4.5 — спецификации ниток выпарки, п. 1.3.12 и 1.3.13 — параметры пара и оборотной воды, разд. 4.2.1 — материальное исполнение); ТЗ на БИ ред. 4.1 (п. 4.1 — составы сред, п. 4.4 — состав оборудования);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ОВЭ75-БИ-Л2-КР — Компоновочные решения (планы, разрезы)</w:t>
      </w:r>
    </w:p>
    <w:p>
      <w:r>
        <w:rPr>
          <w:sz w:val="20"/>
        </w:rPr>
        <w:t xml:space="preserve">— ОВЭ75-БИ-Л2-СО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ОВЭ75-БИ-Л2-PID — Предварительные схемы трубопроводов и КИПиА (P&amp;ID)</w:t>
      </w:r>
    </w:p>
    <w:p>
      <w:r>
        <w:rPr>
          <w:sz w:val="20"/>
        </w:rPr>
        <w:t xml:space="preserve">— ОВЭ75-БИ-Л2-НГ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тепловыделений от поверхностей оборудования в помещения с указанием места, величины, характера выделения и источника оценки; перечень выделяющихся вредных веществ с гигиеническими нормативами; ведомость источников выделений с характером и требованиями к локализации; требования к укрытиям, местным отсосам и аспирации технологического оборудования; характеристика помещений и режимов работы; сводные данные по воздействию на окружающую среду в объёме, вытекающем из балансов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Выполняет смежный проектировщик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Расчёт воздухообмена и подбор систем общеобменной вентиляции, отопления, кондиционирования и аварийной вентиляции; расчёт производительности местных отсосов по принятым укрытиям; расчёт систем противодымной вентиляции; расчёт рассеивания выбросов, нормативы допустимых выбросов и разделы охраны окружающей среды проектной документации.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Уточняется по данным изготовителей и по результатам обследования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Фактические температуры поверхностей, толщины и конструкция теплоизоляции по конструкторской документации; интенсивности пылевыделения и аэрозолеобразования по опросным листам и техническим предложениям на укрытия, центрифуги, узлы фасовки, аспирационное и газоочистное оборудование; уровни шума и вибрации по паспортам оборудования; подтверждение расчётных значений тепловизионным обследованием и замерами воздуха рабочей зоны при пусконаладочных работах.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Статус и достоверность данных</w:t>
      </w:r>
    </w:p>
    <w:p>
      <w:r>
        <w:rPr>
          <w:sz w:val="20"/>
        </w:rPr>
        <w:t xml:space="preserve">Статус данных настоящего документа установлен редакцией 4.1 Технического задания, принятой Заказчиком: предварительные расчётные данные по аналогам. Подтверждение величин выполняется на детальном этапе по данным изготовителей оборудования, а по выделениям вредностей — дополнительно замерами воздуха рабочей зоны при пусконаладочных работах и в рамках программы производственного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приведена в исходных данных Заказчика или в Техническом задании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 по балансу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получена из теплового или материального баланса лота как статья, не отведённая теплоносителями и не унесённая материальными потоками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расчётная верхняя оценка; уточняется после теплового расчёта изоляции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Оценка по аналогам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Величина принята по опыту аналогичных переделов и задана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 воздухообмена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техническому предложению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исходными данными не задана и определяется комплектацией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производительность системы и место размещения оборудования; величина вносится в ведомость итерацией после получения технических предложений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ведомостей: «По техническому предложению изготовителя» — характеристика исходными данными не задана и вносится по техническому предложению; «Определяется на стадии БИ» — величину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900"/>
        <w:gridCol w:w="6454"/>
      </w:tblGrid>
      <w:tr>
        <w:trPr>
          <w:tblHeader/>
          <w:cantSplit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4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60.13330.2020 «Отопление, вентиляция и кондиционирование воздуха»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Ассимиляция тепло- и влаговыделений, местные отсосы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61.13330.2012 «Тепловая изоляция оборудования и трубопроводов»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Нормируемая плотность теплового потока; температура поверхности изоляции в обслуживаемых зонах не выше 45 °C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28.13330.2017 «Защита строительных конструкций от коррозии»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Степень агрессивности среды к бетону и стали, кислотостойкое исполнение полов и приямков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12.1.005-88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Общие санитарно-гигиенические требования к воздуху рабочей зоны; предельно допустимые концентрации и классы опасности вредных веществ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СанПиН 1.2.3685-21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Гигиенические нормативы: предельно допустимые концентрации, параметры микроклимата, тепловое облучение, шум, вибрация, магнитные поля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12.1.003-2014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Шум — общие требования безопасности и допустимые уровни на рабочих местах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12.1.012-2004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Вибрационная безопасность — допустимые уровни на рабочих местах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12.13130.2009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Категорирование помещений по взрывопожарной и пожарной опасности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2.2.3670-20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Санитарно-эпидемиологические требования к условиям труда, производственный контроль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ГОСТ 12.4.021-75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Системы вентиляционные — общие требования к устройству и эксплуатации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СП 60.13330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Отопление, вентиляция, кондиционирование — базис расчёта отопления и вентиляции генпроектировщиком по выданным данным</w:t>
            </w:r>
          </w:p>
        </w:tc>
      </w:tr>
      <w:tr>
        <w:trPr>
          <w:cantSplit/>
        </w:trPr>
        <w:tc>
          <w:tcPr>
            <w:tcW w:w="2900" w:type="dxa"/>
          </w:tcPr>
          <w:p>
            <w:r>
              <w:rPr>
                <w:sz w:val="17"/>
              </w:rPr>
              <w:t xml:space="preserve">ФККО (приказ Росприроднадзора)</w:t>
            </w:r>
          </w:p>
        </w:tc>
        <w:tc>
          <w:tcPr>
            <w:tcW w:w="6454" w:type="dxa"/>
          </w:tcPr>
          <w:p>
            <w:r>
              <w:rPr>
                <w:sz w:val="17"/>
              </w:rPr>
              <w:t xml:space="preserve">Классификация образующихся отходов — номенклатура и классы опасности на стадии Базового инжиниринга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1.5 Режим работы и условия эксплуатации</w:t>
      </w:r>
    </w:p>
    <w:p>
      <w:r>
        <w:rPr>
          <w:sz w:val="20"/>
        </w:rPr>
        <w:t xml:space="preserve">Тепловыделения и выделения вредностей приведены для установившегося режима работы оборудования. Режим работы лота и климатические условия площадки определяют расчётные режимы систем вентиляции и отопления и режим работы источников выбросов.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4700"/>
        <w:gridCol w:w="21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2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Круглосуточный, 347 суток в году, фонд времени 8 322 ч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ч.2; расчётная модель КВАНТ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Расчётный режим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Работа обеих ниток выпарки на номинальной нагрузке; тепловыделения приведены для суммы ниток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Периодические операции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Выгрузка центрифуг, фасовка продукта, пробоотбор, промывки и опорожнения аппаратов при плановых остановках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ч.2 разд. 4.2.1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−40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271 сутки при средней температуре наружного воздуха −4,5 °C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47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2154" w:type="dxa"/>
          </w:tcPr>
          <w:p>
            <w:r>
              <w:rPr>
                <w:sz w:val="17"/>
              </w:rPr>
              <w:t xml:space="preserve">ИД ч.1</w:t>
            </w:r>
          </w:p>
        </w:tc>
      </w:tr>
    </w:tbl>
    <w:p>
      <w:r>
        <w:rPr>
          <w:sz w:val="20"/>
        </w:rPr>
        <w:t xml:space="preserve">Из климатических условий площадки вытекают требования, учитываемые при выдаче данных в раздел отопления и вентиляции: в холодный период года тепловыделения оборудования частично замещают отопление производственных помещений, поэтому расчёт систем выполняется на два режима — тёплый период с максимальным воздухообменом на ассимиляцию теплоизбытков и холодный период с проверкой достаточности тепловыделений; в нерабочих зонах предусматривается дежурное отопление на +5 °C; наружные ворота и проёмы с интенсивным движением транспорта оборудуются воздушно-тепловыми завесами.</w:t>
      </w:r>
    </w:p>
    <w:p>
      <w:pPr>
        <w:pStyle w:val="Heading1"/>
      </w:pPr>
      <w:r>
        <w:rPr>
          <w:b/>
          <w:sz w:val="28"/>
        </w:rPr>
        <w:t xml:space="preserve">2. Методика определения</w:t>
      </w:r>
    </w:p>
    <w:p>
      <w:pPr>
        <w:pStyle w:val="Heading2"/>
      </w:pPr>
      <w:r>
        <w:rPr>
          <w:b/>
          <w:sz w:val="24"/>
        </w:rPr>
        <w:t xml:space="preserve">2.1 Общий подход</w:t>
      </w:r>
    </w:p>
    <w:p>
      <w:r>
        <w:rPr>
          <w:sz w:val="20"/>
        </w:rPr>
        <w:t xml:space="preserve">Тепловыделения от поверхностей оборудования в помещения определены двумя независимыми путями с последующим сопоставлением результатов.</w:t>
      </w:r>
    </w:p>
    <w:p>
      <w:r>
        <w:rPr>
          <w:sz w:val="20"/>
        </w:rPr>
        <w:t xml:space="preserve">Путь первый — по тепловым балансам лота. Тепло, не отведённое целевыми теплоносителями (пар, оборотная вода, отходящие газы) и не унесённое материальными потоками продуктов, поступает в объём помещения. Для оборудования, тепловой баланс которого задан исходными данными Заказчика, этот путь даёт верхнюю оценку без дополнительных допущений и является основным.</w:t>
      </w:r>
    </w:p>
    <w:p>
      <w:r>
        <w:rPr>
          <w:sz w:val="20"/>
        </w:rPr>
        <w:t xml:space="preserve">Путь второй — по поверхностям оборудования. Тепловой поток от изолированных поверхностей принимается по нормируемой плотности теплового потока, от неизолированных — по суммарному коэффициенту теплоотдачи, учитывающему конвекцию и излучение, и разности температур поверхности и воздуха помещения. Этот путь применяется там, где баланс аппарата исходными данными не задан, и служит проверкой первого пути.</w:t>
      </w:r>
    </w:p>
    <w:p>
      <w:r>
        <w:rPr>
          <w:sz w:val="20"/>
        </w:rPr>
        <w:t xml:space="preserve">Тепловыделение электроприводов принимается равным 10 % потребляемой мощности приводов, размещённых в отапливаемых помещениях: потери в двигателе и передаче переходят в теплоту помещения, полезная работа передаётся перемещаемой среде или материалу.</w:t>
      </w:r>
    </w:p>
    <w:p>
      <w:r>
        <w:rPr>
          <w:sz w:val="20"/>
        </w:rPr>
        <w:t xml:space="preserve">Выделения вредностей определены по составам перерабатываемых материалов и растворов из материальных балансов лота с указанием характера выделения — постоянного или связанного с периодическими операциями. Количественные интенсивности выделений в единицах массы за единицу времени приводятся там, где они следуют из балансов; в остальных случаях выдаются перечень контролируемых веществ, гигиенические нормативы и целевые концентрации в воздухе рабочей зоны, а количественная оценка выполняется после фиксации расходов местных отсосов совместно со смежным проектировщиком.</w:t>
      </w:r>
    </w:p>
    <w:p>
      <w:pPr>
        <w:pStyle w:val="Heading2"/>
      </w:pPr>
      <w:r>
        <w:rPr>
          <w:b/>
          <w:sz w:val="24"/>
        </w:rPr>
        <w:t xml:space="preserve">2.2 Расчётные предпосылки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100"/>
        <w:gridCol w:w="3600"/>
        <w:gridCol w:w="2654"/>
      </w:tblGrid>
      <w:tr>
        <w:trPr>
          <w:tblHeader/>
          <w:cantSplit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5"/>
              </w:rPr>
              <w:t xml:space="preserve">Величина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Нормируемая плотность теплового потока изолированных поверхностей горячих трактов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150–300 Вт/м²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СП 61.13330.2012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Предельная температура поверхности изоляции в обслуживаемых зонах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не выше 45 °C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СП 61.13330.2012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Суммарный коэффициент теплоотдачи неизолированной поверхности (конвекция и излучение)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 Вт/(м²·К) — принято, уточняется на стадии БИ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Доля потребляемой мощности электропривода, переходящая в теплоту помещения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10 %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Невязка теплового баланса выпарки — потери корпусов, трубопроводов и баков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не более 5 % подведённой тепловой мощности (сходимость расчёта испарения I ступени составила 95 %)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Подведённая тепловая мощность подогревателей I ступеней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1,22 МВт по нитке 1 (поверхность 63 м²) и 0,52 МВт по нитке 2 (поверхность 25 м²) при греющем паре 0,6 МПа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ч.2 табл. 3.1 и п. 1.3.13; расчётная модель КВАНТ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Температура сред в аппаратах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I ступени 40 °C, II ступени 20 °C, гидрозатворы барометрических труб около 27,5 °C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ч.2 табл. 3.1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Разрежение в аппаратном контуре</w:t>
            </w:r>
          </w:p>
        </w:tc>
        <w:tc>
          <w:tcPr>
            <w:tcW w:w="3600" w:type="dxa"/>
          </w:tcPr>
          <w:p>
            <w:r>
              <w:rPr>
                <w:sz w:val="17"/>
              </w:rPr>
              <w:t xml:space="preserve">0,075 атм в барометрических конденсаторах, 0,013 атм на II ступенях — постоянных выделений из аппаратов в помещение нет</w:t>
            </w:r>
          </w:p>
        </w:tc>
        <w:tc>
          <w:tcPr>
            <w:tcW w:w="2654" w:type="dxa"/>
          </w:tcPr>
          <w:p>
            <w:r>
              <w:rPr>
                <w:sz w:val="17"/>
              </w:rPr>
              <w:t xml:space="preserve">ИД ч.2 табл. 4.2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Порядок уточнения</w:t>
      </w:r>
    </w:p>
    <w:p>
      <w:r>
        <w:rPr>
          <w:sz w:val="20"/>
        </w:rPr>
        <w:t xml:space="preserve">Уточнение приведённых величин выполняется в следующем порядке. Тепловыделения пересчитываются после теплового расчёта изоляции с фактическими поверхностями и толщинами и после получения конструкторской документации изготовителей — результатом является тепловой паспорт по помещениям в форме «аппарат — поверхность, м² — температура поверхности, °C — тепловой поток, Вт». Интенсивности выделений вредностей уточняются после фиксации расходов местных отсосов и по данным изготовителей укрытий и газоочистного оборудования. Итоговое подтверждение обеих групп величин выполняется замерами при пусконаладочных работах.</w:t>
      </w:r>
    </w:p>
    <w:p>
      <w:pPr>
        <w:pStyle w:val="Heading1"/>
      </w:pPr>
      <w:r>
        <w:rPr>
          <w:b/>
          <w:sz w:val="28"/>
        </w:rPr>
        <w:t xml:space="preserve">3. Тепловыделения от оборудования в помещения</w:t>
      </w:r>
    </w:p>
    <w:p>
      <w:pPr>
        <w:pStyle w:val="Heading2"/>
      </w:pPr>
      <w:r>
        <w:rPr>
          <w:b/>
          <w:sz w:val="24"/>
        </w:rPr>
        <w:t xml:space="preserve">3.1 Распределение теплового баланса лота</w:t>
      </w:r>
    </w:p>
    <w:p>
      <w:r>
        <w:rPr>
          <w:sz w:val="20"/>
        </w:rPr>
        <w:t xml:space="preserve">Ниже приведено распределение тепловых потоков лота с указанием того, куда отводится каждая статья. Из распределения выделяется часть, поступающая в объём помещений и подлежащая ассимиляции вентиляцией.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3400"/>
        <w:gridCol w:w="29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Статья теплового баланса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Тепловой поток</w:t>
            </w:r>
          </w:p>
        </w:tc>
        <w:tc>
          <w:tcPr>
            <w:tcW w:w="2954" w:type="dxa"/>
            <w:shd w:val="clear" w:fill="EFEFEF"/>
          </w:tcPr>
          <w:p>
            <w:r>
              <w:rPr>
                <w:b/>
                <w:sz w:val="15"/>
              </w:rPr>
              <w:t xml:space="preserve">Куда отводится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Подведённая тепловая мощность подогревателей I ступеней (греющий пар 0,6 МПа)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1,22 МВт (нитка 1) + 0,52 МВт (нитка 2) = 1,74 МВт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Испарение раствора в корпусах испарителей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Самоиспарение перегретого питания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261 кг/ч по нитке 1 при охлаждении питания с 70 до 40 °C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Соковый пар II ступени и конденсация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Нагрузка барометрических конденсаторов и конденсаторов пароэжекторных блоков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2,17 + 0,19 + 0,67 + 0,11 ≈ 3,1 МВт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Оборотная вода кислой системы 568 м³/ч с нагревом около 5 К, далее на градирню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Потери корпусов аппаратов, трубопроводов и баков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не более 5 % подведённой мощности: около 87 кВт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В объём помещения участка — определяющая статья настоящего документа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Тепло, выводимое с продуктом и растворами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Смешанный купорос 6 658 т/год с остаточной влажностью 4–6 %; маточник-2 при температуре не ниже 30–40 °C</w:t>
            </w:r>
          </w:p>
        </w:tc>
        <w:tc>
          <w:tcPr>
            <w:tcW w:w="2954" w:type="dxa"/>
          </w:tcPr>
          <w:p>
            <w:r>
              <w:rPr>
                <w:sz w:val="17"/>
              </w:rPr>
              <w:t xml:space="preserve">Выводится за границы участка</w:t>
            </w:r>
          </w:p>
        </w:tc>
      </w:tr>
    </w:tbl>
    <w:p>
      <w:r>
        <w:rPr>
          <w:sz w:val="20"/>
        </w:rPr>
        <w:t xml:space="preserve">Из приведённого распределения следует, что определяющая часть подведённого тепла уходит с соковым паром в конденсаторы и далее оборотной водой на градирню кислой системы, минуя объём помещения. В помещение поступают только потери изолированных поверхностей аппаратов, трубопроводов и обогреваемых баков, а также тепловыделение электроприводов.</w:t>
      </w:r>
    </w:p>
    <w:p>
      <w:pPr>
        <w:pStyle w:val="Heading2"/>
      </w:pPr>
      <w:r>
        <w:rPr>
          <w:b/>
          <w:sz w:val="24"/>
        </w:rPr>
        <w:t xml:space="preserve">3.2 Ведомость тепловыделений в помещения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700"/>
        <w:gridCol w:w="2700"/>
        <w:gridCol w:w="1200"/>
        <w:gridCol w:w="1400"/>
        <w:gridCol w:w="2354"/>
      </w:tblGrid>
      <w:tr>
        <w:trPr>
          <w:tblHeader/>
          <w:cantSplit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Место (помещение, зона)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тепловыделения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5"/>
              </w:rPr>
              <w:t xml:space="preserve">В помещение, кВт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оценки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выпарки: этажерка и отметка 0,000, обе нитки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Корпуса испарителей I ступеней, выносные подогреватели, паропроводы глухого и острого пара, обогреваемые баки маточника и репульпатор растворения: потери изолированных поверхностей — не более 5 % подведённой тепловой мощности 1,74 МВт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90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Расчётная модель КВАНТ по невязке теплового баланса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выпарки, отметка 0,000 и приямки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Открытые зеркала воды в гидрозатворах барометрических труб (около 27,5 °C) и корпуса испарителей II ступеней (20 °C) — низкотемпературный вклад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Учтено в строке 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выпарки, фугования и фасовки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Электроприводы: циркуляционные насосы 2 × 22 и 2 × 11 кВт, насосы репульпаторов 7,5 и 3 кВт, центрифуги 15 кВт, насосы фугата 1,5 кВт — установленная мощность по спецификациям 114 кВт, полная оценочно 160–220 кВт; около 10 % потребляемой мощности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10–20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ч.2 рис. 4.4 и 4.5; 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выпарки (аппараты конденсации)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Барометрические конденсаторы и конденсаторы пароэжекторных блоков: нагрузка 3,1 МВт отводится оборотной водой кислой системы на градирню, в помещение поступают только потери изолированных поверхностей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Учтено в строке 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ИД ч.2 рис. 4.4 и 4.5; Расчётная модель КВАНТ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Помещение вакуум-насосов пароэжекторных блоков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Водокольцевые вакуум-насосы ВВН1-6 и ВВН1-3: тепловыделение приводов и охлаждение рабочей жидкости водяного кольца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По техническому предложению изготовителя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Зона фасовки и склад тары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Оборудование фасовки в биг-беги, пробоотбора и коммерческого учёта; напольный транспорт</w:t>
            </w:r>
          </w:p>
        </w:tc>
        <w:tc>
          <w:tcPr>
            <w:tcW w:w="12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Периодический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По техническому предложению изготовителя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6"/>
              </w:rPr>
              <w:t xml:space="preserve">Итого в объём помещений участка</w:t>
            </w:r>
          </w:p>
        </w:tc>
        <w:tc>
          <w:tcPr>
            <w:tcW w:w="2700" w:type="dxa"/>
            <w:shd w:val="clear" w:fill="F7F7F7"/>
          </w:tcPr>
          <w:p>
            <w:r>
              <w:rPr>
                <w:b/>
                <w:sz w:val="16"/>
              </w:rPr>
              <w:t xml:space="preserve">Принимается для выдачи в раздел отопления и вентиляции: 90 кВт по технологическим аппаратам и трубопроводам и 10–20 кВт по электроприводам</w:t>
            </w:r>
          </w:p>
        </w:tc>
        <w:tc>
          <w:tcPr>
            <w:tcW w:w="1200" w:type="dxa"/>
            <w:shd w:val="clear" w:fill="F7F7F7"/>
          </w:tcPr>
          <w:p>
            <w:r>
              <w:rPr>
                <w:b/>
                <w:sz w:val="16"/>
              </w:rPr>
              <w:t xml:space="preserve">100–110</w:t>
            </w:r>
          </w:p>
        </w:tc>
        <w:tc>
          <w:tcPr>
            <w:tcW w:w="1400" w:type="dxa"/>
            <w:shd w:val="clear" w:fill="F7F7F7"/>
          </w:tcPr>
          <w:p>
            <w:r>
              <w:rPr>
                <w:b/>
                <w:sz w:val="16"/>
              </w:rPr>
              <w:t xml:space="preserve">Постоянный</w:t>
            </w:r>
          </w:p>
        </w:tc>
        <w:tc>
          <w:tcPr>
            <w:tcW w:w="2354" w:type="dxa"/>
            <w:shd w:val="clear" w:fill="F7F7F7"/>
          </w:tcPr>
          <w:p>
            <w:r>
              <w:rPr>
                <w:b/>
                <w:sz w:val="16"/>
              </w:rPr>
              <w:t xml:space="preserve">Расчётная модель КВАНТ</w:t>
            </w:r>
          </w:p>
        </w:tc>
      </w:tr>
    </w:tbl>
    <w:p>
      <w:r>
        <w:rPr>
          <w:color w:val="555555"/>
          <w:sz w:val="18"/>
        </w:rPr>
        <w:t xml:space="preserve">Для зоны выпарки принято 90 кВт при расчётном значении 87 кВт — верхняя граница потерь изолированных поверхностей. Запись «Уточняется» означает, что величина определяется по техническому предложению изготовителя.</w:t>
      </w:r>
    </w:p>
    <w:p>
      <w:pPr>
        <w:pStyle w:val="Heading2"/>
      </w:pPr>
      <w:r>
        <w:rPr>
          <w:b/>
          <w:sz w:val="24"/>
        </w:rPr>
        <w:t xml:space="preserve">3.3 Пояснения к ведомости</w:t>
      </w:r>
    </w:p>
    <w:p>
      <w:r>
        <w:rPr>
          <w:sz w:val="20"/>
        </w:rPr>
        <w:t xml:space="preserve">Определяющей для расчёта воздухообмена является оценка 100–110 кВт. Для зоны выпарки принимается 90 кВт как верхняя граница потерь изолированных поверхностей; после выбора тепловой изоляции с фактическими поверхностями и толщинами значение уточняется в меньшую сторону. Тепловыделения участка невелики, и определяющим для расчёта вентиляции является не тепло, а влаговыделения зоны выпарки и локализация пыли кристаллогидрата на узлах выгрузки центрифуг и фасовки.</w:t>
      </w:r>
    </w:p>
    <w:p>
      <w:r>
        <w:rPr>
          <w:sz w:val="20"/>
        </w:rPr>
        <w:t xml:space="preserve">Температура доступных поверхностей изоляции в обслуживаемых зонах ограничивается 45 °C, что одновременно является требованием безопасности и условием, при котором принятая оценка потерь остаётся действительной.</w:t>
      </w:r>
    </w:p>
    <w:p>
      <w:pPr>
        <w:pStyle w:val="Heading1"/>
      </w:pPr>
      <w:r>
        <w:rPr>
          <w:b/>
          <w:sz w:val="28"/>
        </w:rPr>
        <w:t xml:space="preserve">4. Выделения вредностей от оборудования</w:t>
      </w:r>
    </w:p>
    <w:p>
      <w:pPr>
        <w:pStyle w:val="Heading2"/>
      </w:pPr>
      <w:r>
        <w:rPr>
          <w:b/>
          <w:sz w:val="24"/>
        </w:rPr>
        <w:t xml:space="preserve">4.1 Перечень контролируемых веществ и гигиенические нормативы</w:t>
      </w:r>
    </w:p>
    <w:p>
      <w:r>
        <w:rPr>
          <w:sz w:val="20"/>
        </w:rPr>
        <w:t xml:space="preserve">Перечень составлен по составам перерабатываемых материалов и растворов из материальных балансов лота. Гигиенические нормативы приведены для воздуха рабочей зоны и используются как целевые показатели при расчёте воздухообмена и при назначении программы производственного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750"/>
        <w:gridCol w:w="1100"/>
        <w:gridCol w:w="42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Вещество или фактор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Норматив в воздухе рабочей зоны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Класс опасности</w:t>
            </w:r>
          </w:p>
        </w:tc>
        <w:tc>
          <w:tcPr>
            <w:tcW w:w="420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и примечание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Пыль кристаллогидрата — соли никеля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0,005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12.1.005-88; канцероген. Лимитирующая вредность участка: определяет обязательность местных отсосов на узлах выгрузки и фасовки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Пыль кристаллогидрата — соли меди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0,5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Аэрозоль серной кислоты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 мг/м³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ГОСТ 12.1.005-88. Источник — растворы с содержанием серной кислоты 17,9–61 кг/м³, маточник второй ступени до 400 кг/м³, кислая оборотная вода до 0,5 г/л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Пары воды (влаговыделения)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Нормируется параметрами микроклимата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СанПиН 1.2.3685-21. Источники — открытые зеркала гидрозатворов, приямки, промывочные операции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6"/>
              </w:rPr>
              <w:t xml:space="preserve">Тепловыделения от поверхностей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Температура поверхности изоляции не выше 45 °C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4204" w:type="dxa"/>
          </w:tcPr>
          <w:p>
            <w:r>
              <w:rPr>
                <w:sz w:val="16"/>
              </w:rPr>
              <w:t xml:space="preserve">СП 61.13330.2012 — требование для обслуживаемых зон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Ведомость источников выделений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2500"/>
        <w:gridCol w:w="1400"/>
        <w:gridCol w:w="1750"/>
        <w:gridCol w:w="230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Вещество или фактор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выделения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Оценка</w:t>
            </w:r>
          </w:p>
        </w:tc>
        <w:tc>
          <w:tcPr>
            <w:tcW w:w="230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Требования к местным отсосам и аспирации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Пыль кристаллогидрата (соли меди и никеля)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Зона выгрузки фильтрующих центрифуг (4 машины), узел фасовки смешанного купороса в биг-беги, узел пробоотбора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Периодический — цикл выгрузки центрифуги, операции фасовки и пробоотбора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Количественные выделения — по данным изготовителя узла фасовки; предварительно по аналогам. Остаточная влажность продукта 4–6 %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Укрытия зоны выгрузки центрифуг с местным отсосом; аспирация узла фасовки с фильтром в комплекте узла (в границах поставки лота); герметичные тракты соли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Аэрозоль серной кислоты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Смотровые и ревизионные люки аппаратов, точки пробоотбора растворов, разъёмные соединения, приямки сбора проливов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Периодический — при обслуживании и пробоотборе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Аппаратный контур герметичен и работает под разрежением, постоянных выделений из аппаратов нет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Местные отсосы от пробоотборных шкафов и от люков на время обслуживания; вывод дыхательных линий баков на организованный отсос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Пары воды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Открытые зеркала воды в гидрозатворах барометрических труб (около 27,5 °C), приямки сбора проливов, промывочные операции при остановках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Постоянный; при промывках — периодический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Определяется на стадии БИ по площади открытых поверхностей и температуре зеркал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Местная вытяжка из приямков гидрозатворов; общеобменная вентиляция зоны выпарки с учётом влаговыделений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Тепло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Изолированные корпуса испарителей I ступеней, выносные подогреватели, паропроводы, обогреваемые баки маточника и репульпатор растворения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100–110 кВт в объём помещений участка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Тепловая изоляция с ограничением температуры доступных поверхностей 45 °C; общеобменная вентиляция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6"/>
              </w:rPr>
              <w:t xml:space="preserve">Шум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Фильтрующие центрифуги с частотой вращения 1 800 об/мин, циркуляционные насосы, водокольцевые вакуум-насосы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Постоянный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Уровни — по опросным листам изготовителей</w:t>
            </w:r>
          </w:p>
        </w:tc>
        <w:tc>
          <w:tcPr>
            <w:tcW w:w="2304" w:type="dxa"/>
          </w:tcPr>
          <w:p>
            <w:r>
              <w:rPr>
                <w:sz w:val="16"/>
              </w:rPr>
              <w:t xml:space="preserve">Кожухи и виброизоляция при необходимости; центрифуги устанавливаются на индивидуальных виброизолированных фундаментах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Влаговыделения</w:t>
      </w:r>
    </w:p>
    <w:p>
      <w:r>
        <w:rPr>
          <w:sz w:val="20"/>
        </w:rPr>
        <w:t xml:space="preserve">Влаговыделения — определяющий фактор при расчёте вентиляции зоны выпарки. Аппаратный контур герметичен и работает под разрежением, поэтому соковый пар в помещение не поступает: он конденсируется в барометрических конденсаторах и конденсаторах пароэжекторных блоков. Источники влаги в помещении — открытые зеркала воды в гидрозатворах барометрических труб при температуре около 27,5 °C, приямки сбора проливов, промывочные операции при плановых остановках и остаточная влажность продукта 4–6 % на узлах фугования и фасовки. Количественная оценка выполняется на стадии БИ после фиксации компоновки приямков и площадей открытых зеркал.</w:t>
      </w:r>
    </w:p>
    <w:p>
      <w:pPr>
        <w:pStyle w:val="Heading2"/>
      </w:pPr>
      <w:r>
        <w:rPr>
          <w:b/>
          <w:sz w:val="24"/>
        </w:rPr>
        <w:t xml:space="preserve">4.4 Вещества, отсутствующие в выделениях лота</w:t>
      </w:r>
    </w:p>
    <w:p>
      <w:r>
        <w:rPr>
          <w:sz w:val="20"/>
        </w:rPr>
        <w:t xml:space="preserve">В выделениях участка отсутствуют диоксид серы и иные кислые газы: процесс низкотемпературный, растворы не разлагаются, залповые выделения технологией исключены — срыв вакуума прекращает испарение, а гидрозатворы удерживают столб жидкости. Горючие и взрывоопасные вещества в технологии не применяются, среды негорючие водные.</w:t>
      </w:r>
    </w:p>
    <w:p>
      <w:pPr>
        <w:pStyle w:val="Heading1"/>
      </w:pPr>
      <w:r>
        <w:rPr>
          <w:b/>
          <w:sz w:val="28"/>
        </w:rPr>
        <w:t xml:space="preserve">5. Требования к укрытиям, местным отсосам и аспирации</w:t>
      </w:r>
    </w:p>
    <w:p>
      <w:pPr>
        <w:pStyle w:val="Heading2"/>
      </w:pPr>
      <w:r>
        <w:rPr>
          <w:b/>
          <w:sz w:val="24"/>
        </w:rPr>
        <w:t xml:space="preserve">5.1 Принцип локализации выделений</w:t>
      </w:r>
    </w:p>
    <w:p>
      <w:r>
        <w:rPr>
          <w:sz w:val="20"/>
        </w:rPr>
        <w:t xml:space="preserve">Локализация выделений выполняется в первую очередь укрытиями и местными отсосами в местах образования, и только оставшаяся часть выделений ассимилируется общеобменной вентиляцией. Требования к укрытиям формируются Базовым инжинирингом и транслируются в опросные листы и технические условия поставки оборудования; расчёт производительности отсосов и подбор вентиляционного оборудования выполняет смежный проектировщик по настоящим данным.</w:t>
      </w:r>
    </w:p>
    <w:p>
      <w:r>
        <w:rPr>
          <w:sz w:val="20"/>
        </w:rPr>
        <w:t xml:space="preserve">Общие требования к укрытиям: конструкция укрытия обеспечивает разрежение в объёме укрытия при всех режимах работы оборудования; присоединительные патрубки и места подключения воздуховодов назначаются изготовителем оборудования и фиксируются в опросных листах; укрытия не препятствуют обслуживанию, осмотру и ремонту; съёмные элементы фиксируются и имеют уплотнения; воздуховоды выполняются с уклоном и ревизиями, а на участках с влажным или агрессивным воздухом — с дренажом конденсата.</w:t>
      </w:r>
    </w:p>
    <w:p>
      <w:pPr>
        <w:pStyle w:val="Heading2"/>
      </w:pPr>
      <w:r>
        <w:rPr>
          <w:b/>
          <w:sz w:val="24"/>
        </w:rPr>
        <w:t xml:space="preserve">5.2 Перечень укрытий и местных отсосов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2500"/>
        <w:gridCol w:w="2300"/>
        <w:gridCol w:w="20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Узел (оборудование)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Тип укрытия и отсоса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</w:t>
            </w:r>
          </w:p>
        </w:tc>
        <w:tc>
          <w:tcPr>
            <w:tcW w:w="2054" w:type="dxa"/>
            <w:shd w:val="clear" w:fill="EFEFEF"/>
          </w:tcPr>
          <w:p>
            <w:r>
              <w:rPr>
                <w:b/>
                <w:sz w:val="15"/>
              </w:rPr>
              <w:t xml:space="preserve">Граница поставки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Фильтрующие центрифуги с пульсирующей выгрузкой (4 машины)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Укрытие зоны выгрузки с местным отсосом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кристаллогидрата при выгрузке и промывке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№2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Узел фасовки смешанного купороса в биг-беги с полиэтиленовым вкладышем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Укрытие узла налива с аспирацией и фильтром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солей меди и никеля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№2, в комплекте узла фасовки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Узлы пробоотбора продукта и растворов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Пробоотборные шкафы с местным отсосом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пыли и аэрозоля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№2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Смотровые и ревизионные люки аппаратов, разъёмные соединения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Стационарные или переносные отсосы на время обслуживания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Локализация аэрозоля серной кислоты при вскрытии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Гидрозатворы барометрических труб и приямки сбора проливов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Местная вытяжка из приямка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Удаление влаго- и аэрозолевыделений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Определяется на стадии БИ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Дыхательные линии баков маточника, репульпаторов и баков растворения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Вывод дыхательных линий на организованный отсос либо в аппаратный контур</w:t>
            </w:r>
          </w:p>
        </w:tc>
        <w:tc>
          <w:tcPr>
            <w:tcW w:w="2300" w:type="dxa"/>
          </w:tcPr>
          <w:p>
            <w:r>
              <w:rPr>
                <w:sz w:val="16"/>
              </w:rPr>
              <w:t xml:space="preserve">Исключение выделений в помещение при заполнении и опорожнении</w:t>
            </w:r>
          </w:p>
        </w:tc>
        <w:tc>
          <w:tcPr>
            <w:tcW w:w="2054" w:type="dxa"/>
          </w:tcPr>
          <w:p>
            <w:r>
              <w:rPr>
                <w:sz w:val="16"/>
              </w:rPr>
              <w:t xml:space="preserve">Лот №2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Очистка аспирационного воздуха</w:t>
      </w:r>
    </w:p>
    <w:p>
      <w:r>
        <w:rPr>
          <w:sz w:val="20"/>
        </w:rPr>
        <w:t xml:space="preserve">Аспирационный воздух узла фасовки очищается в фильтре, входящем в комплект узла; данные о концентрациях до и после очистки принимаются по паспорту фильтра и по аналогам. Выхлопы водокольцевых вакуум-насосов пароэжекторных блоков (2 шт.) содержат воздух подсосов и остаточный водяной пар после двух ступеней конденсации; кислые компоненты улавливаются конденсацией и водяным кольцом насосов, унос направляется в кислую оборотную воду. Количество выхлопа равно подсосам воздуха и определяется расчётом герметичности вакуумной системы на стадии БИ.</w:t>
      </w:r>
    </w:p>
    <w:p>
      <w:pPr>
        <w:pStyle w:val="Heading1"/>
      </w:pPr>
      <w:r>
        <w:rPr>
          <w:b/>
          <w:sz w:val="28"/>
        </w:rPr>
        <w:t xml:space="preserve">6. Исходные данные для раздела отопления и вентиляции</w:t>
      </w:r>
    </w:p>
    <w:p>
      <w:pPr>
        <w:pStyle w:val="Heading2"/>
      </w:pPr>
      <w:r>
        <w:rPr>
          <w:b/>
          <w:sz w:val="24"/>
        </w:rPr>
        <w:t xml:space="preserve">6.1 Характеристика помещений</w:t>
      </w:r>
    </w:p>
    <w:p>
      <w:r>
        <w:rPr>
          <w:sz w:val="20"/>
        </w:rPr>
        <w:t xml:space="preserve">Категории помещений по взрывопожарной и пожарной опасности приняты предварительно и подтверждаются расчётом по СП 12.13130.2009 после фиксации состава оборудования и объёмов горючих материалов. Расчётные параметры внутреннего воздуха, не заданные исходными данными, назначаются смежным разделом по категории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1350"/>
        <w:gridCol w:w="3200"/>
        <w:gridCol w:w="260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Помещение (зона)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 по СП 12.13130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среды</w:t>
            </w:r>
          </w:p>
        </w:tc>
        <w:tc>
          <w:tcPr>
            <w:tcW w:w="2604" w:type="dxa"/>
            <w:shd w:val="clear" w:fill="EFEFEF"/>
          </w:tcPr>
          <w:p>
            <w:r>
              <w:rPr>
                <w:b/>
                <w:sz w:val="15"/>
              </w:rPr>
              <w:t xml:space="preserve">Особенности режима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Зона выпарки (этажерка и отметка 0,000)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— предварительно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Мокрый процесс, негорючие водные среды; влаговыделения; аэрозоль серной кислоты при обслуживании; полы кислотостойкие с бортиками и трапами в сборные приямки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определяющее — удаление влаговыделений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Зона фугования (фильтрующие центрифуги)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— предварительно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Пыль кристаллогидрата при выгрузке; повышенная влажность; кислотостойкие полы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Круглосуточный; определяющее — местные отсосы от укрытий выгрузки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Зона фасовки и склад тары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 расчётом (полимерная тара и вкладыши)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Пыль смешанного купороса; сухая зона; напольный транспорт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Периодический — по циклу фасовки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Помещение вакуум-насосов пароэжекторных блоков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Д — предварительно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Шум; влаговыделения от рабочей жидкости водяного кольца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Круглосуточный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Приямки гидрозатворов и сбора проливов</w:t>
            </w:r>
          </w:p>
        </w:tc>
        <w:tc>
          <w:tcPr>
            <w:tcW w:w="1350" w:type="dxa"/>
          </w:tcPr>
          <w:p>
            <w:r>
              <w:rPr>
                <w:sz w:val="16"/>
              </w:rPr>
              <w:t xml:space="preserve">Уточняется расчётом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Кислые растворы, влаговыделения; кислотостойкое исполнение по СП 28.13330</w:t>
            </w:r>
          </w:p>
        </w:tc>
        <w:tc>
          <w:tcPr>
            <w:tcW w:w="2604" w:type="dxa"/>
          </w:tcPr>
          <w:p>
            <w:r>
              <w:rPr>
                <w:sz w:val="16"/>
              </w:rPr>
              <w:t xml:space="preserve">Постоянно; местная вытяжка, контроль перед спуском персонала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Требования к системам отопления и вентиляции</w:t>
      </w:r>
    </w:p>
    <w:p>
      <w:r>
        <w:rPr>
          <w:sz w:val="20"/>
        </w:rPr>
        <w:t xml:space="preserve">— Ассимиляция теплоизбытков зоны выпарки: расчётная тепловая нагрузка 100–110 кВт.</w:t>
      </w:r>
    </w:p>
    <w:p>
      <w:r>
        <w:rPr>
          <w:sz w:val="20"/>
        </w:rPr>
        <w:t xml:space="preserve">— Удаление влаговыделений зоны выпарки — определяющий фактор расчёта воздухообмена; источники и площади открытых зеркал приведены в разделе влаговыделений.</w:t>
      </w:r>
    </w:p>
    <w:p>
      <w:r>
        <w:rPr>
          <w:sz w:val="20"/>
        </w:rPr>
        <w:t xml:space="preserve">— Местные отсосы от укрытий выгрузки центрифуг и от узла фасовки; аспирация узла фасовки с фильтром входит в комплект узла и в границы поставки лота.</w:t>
      </w:r>
    </w:p>
    <w:p>
      <w:r>
        <w:rPr>
          <w:sz w:val="20"/>
        </w:rPr>
        <w:t xml:space="preserve">— Раздельные системы сухой зоны фасовки и склада тары и влажной зоны выпарки и фугования; исключение перетоков влажного кислого воздуха в сухую зону.</w:t>
      </w:r>
    </w:p>
    <w:p>
      <w:r>
        <w:rPr>
          <w:sz w:val="20"/>
        </w:rPr>
        <w:t xml:space="preserve">— Местная вытяжка из приямков гидрозатворов и сбора проливов; контроль воздуха перед допуском персонала в приямки.</w:t>
      </w:r>
    </w:p>
    <w:p>
      <w:r>
        <w:rPr>
          <w:sz w:val="20"/>
        </w:rPr>
        <w:t xml:space="preserve">— Исполнение вентиляционного оборудования и воздуховодов влажной зоны — коррозионностойкое, с учётом присутствия аэрозоля серной кислоты и кислой оборотной воды с содержанием серной кислоты до 0,5 г/л.</w:t>
      </w:r>
    </w:p>
    <w:p>
      <w:r>
        <w:rPr>
          <w:sz w:val="20"/>
        </w:rPr>
        <w:t xml:space="preserve">— Отопление и воздушно-тепловые завесы ворот — по общим для площадки климатическим параметрам.</w:t>
      </w:r>
    </w:p>
    <w:p>
      <w:pPr>
        <w:pStyle w:val="Heading2"/>
      </w:pPr>
      <w:r>
        <w:rPr>
          <w:b/>
          <w:sz w:val="24"/>
        </w:rPr>
        <w:t xml:space="preserve">6.3 Состав передаваемых данных</w:t>
      </w:r>
    </w:p>
    <w:p>
      <w:r>
        <w:rPr>
          <w:sz w:val="20"/>
        </w:rPr>
        <w:t xml:space="preserve">В раздел отопления и вентиляции передаются следующие материалы настоящего документа. Передача выполняется в составе выпуска Ревизии 0 и повторяется итерацией после получения технических предложений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100"/>
        <w:gridCol w:w="6254"/>
      </w:tblGrid>
      <w:tr>
        <w:trPr>
          <w:tblHeader/>
          <w:cantSplit/>
        </w:trPr>
        <w:tc>
          <w:tcPr>
            <w:tcW w:w="3100" w:type="dxa"/>
            <w:shd w:val="clear" w:fill="EFEFEF"/>
          </w:tcPr>
          <w:p>
            <w:r>
              <w:rPr>
                <w:b/>
                <w:sz w:val="15"/>
              </w:rPr>
              <w:t xml:space="preserve">Материал</w:t>
            </w:r>
          </w:p>
        </w:tc>
        <w:tc>
          <w:tcPr>
            <w:tcW w:w="62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Ведомость тепловыделений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Место, источник, величина в киловаттах, характер выделения, источник оценки — по разделу тепловыделений настоящего документа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Перечень контролируемых вредных веществ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Вещество, гигиенический норматив в воздухе рабочей зоны, класс опасности, целевая концентрация — по разделу вредностей настоящего документа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Ведомость источников выделений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Источник, характер выделения, оценка, требования к локализации — по разделу вредностей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Перечень укрытий и местных отсосов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Узел, тип укрытия, назначение, граница поставки — по разделу локализации выделений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Характеристика помещений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Категория по взрывопожарной опасности, характеристика среды, режим работы, расчётные параметры воздуха — по разделу исходных данных для отопления и вентиляции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Влаговыделения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Перечень источников и площадей открытых поверхностей; количественная оценка выполняется на стадии БИ</w:t>
            </w:r>
          </w:p>
        </w:tc>
      </w:tr>
      <w:tr>
        <w:trPr>
          <w:cantSplit/>
        </w:trPr>
        <w:tc>
          <w:tcPr>
            <w:tcW w:w="3100" w:type="dxa"/>
          </w:tcPr>
          <w:p>
            <w:r>
              <w:rPr>
                <w:sz w:val="17"/>
              </w:rPr>
              <w:t xml:space="preserve">Физические факторы</w:t>
            </w:r>
          </w:p>
        </w:tc>
        <w:tc>
          <w:tcPr>
            <w:tcW w:w="6254" w:type="dxa"/>
          </w:tcPr>
          <w:p>
            <w:r>
              <w:rPr>
                <w:sz w:val="17"/>
              </w:rPr>
              <w:t xml:space="preserve">Источники шума, вибрации, теплового облучения и магнитных полей с целевыми показателями — по соответствующему разделу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7. Данные для раздела охраны окружающей среды</w:t>
      </w:r>
    </w:p>
    <w:p>
      <w:pPr>
        <w:pStyle w:val="Heading2"/>
      </w:pPr>
      <w:r>
        <w:rPr>
          <w:b/>
          <w:sz w:val="24"/>
        </w:rPr>
        <w:t xml:space="preserve">7.1 Выбросы в атмосферу</w:t>
      </w:r>
    </w:p>
    <w:p>
      <w:r>
        <w:rPr>
          <w:sz w:val="20"/>
        </w:rPr>
        <w:t xml:space="preserve">Технологический контур участка работает под разрежением, организованных горячих выбросов нет. Источники выбросов: выхлопы двух водокольцевых вакуум-насосов пароэжекторных блоков (несконденсировавшиеся газы — воздух подсосов и остаточный водяной пар после двух ступеней конденсации); аспирационный выброс узла фасовки после фильтра (пыль смешанного купороса — соли меди и никеля); дыхательные линии баков (периодические, малые).</w:t>
      </w:r>
    </w:p>
    <w:p>
      <w:r>
        <w:rPr>
          <w:sz w:val="20"/>
        </w:rPr>
        <w:t xml:space="preserve">Количество выхлопа вакуум-насосов равно подсосам воздуха и определяется расчётом герметичности вакуумной системы на стадии БИ. Данные до и после очистки по аспирации узла фасовки принимаются по опросному листу и паспорту изготовителя. Залповые выбросы технологией исключены: срыв вакуума прекращает испарение, гидрозатворы удерживают столб жидкости. Режим работы источников — 8 322 ч в году.</w:t>
      </w:r>
    </w:p>
    <w:p>
      <w:pPr>
        <w:pStyle w:val="Heading2"/>
      </w:pPr>
      <w:r>
        <w:rPr>
          <w:b/>
          <w:sz w:val="24"/>
        </w:rPr>
        <w:t xml:space="preserve">7.2 Прочие среды воздействия</w:t>
      </w:r>
    </w:p>
    <w:p>
      <w:r>
        <w:rPr>
          <w:sz w:val="20"/>
        </w:rPr>
        <w:t xml:space="preserve">По прочим средам воздействия: постоянных сбросов в водные объекты и канализацию участок не имеет — контур кислой оборотной воды замкнут через градирню, профицит воды около 4,7 м³/ч отсекается в производство как оборотная вода, периодические воды промывок и опорожнений возвращаются в технологию. Смешанный купорос является товарной продукцией, а не отходом. Расходные отходы: отработанные фильтровальные элементы и сита центрифуг, брак тары, шлам зачистки аппаратов при плановых ремонтах.</w:t>
      </w:r>
    </w:p>
    <w:p>
      <w:r>
        <w:rPr>
          <w:color w:val="555555"/>
          <w:sz w:val="18"/>
        </w:rPr>
        <w:t xml:space="preserve">Расчёт рассеивания, нормативы допустимых выбросов и разделы охраны окружающей среды проектной документации выполняются генеральным проектировщиком; настоящий документ передаёт для них предварительные расчётные данные по балансам лота.</w:t>
      </w:r>
    </w:p>
    <w:p>
      <w:pPr>
        <w:pStyle w:val="Heading1"/>
      </w:pPr>
      <w:r>
        <w:rPr>
          <w:b/>
          <w:sz w:val="28"/>
        </w:rPr>
        <w:t xml:space="preserve">8. Физические факторы и контроль воздуха рабочей зоны</w:t>
      </w:r>
    </w:p>
    <w:p>
      <w:pPr>
        <w:pStyle w:val="Heading2"/>
      </w:pPr>
      <w:r>
        <w:rPr>
          <w:b/>
          <w:sz w:val="24"/>
        </w:rPr>
        <w:t xml:space="preserve">8.1 Физические факторы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700"/>
        <w:gridCol w:w="3200"/>
        <w:gridCol w:w="2100"/>
        <w:gridCol w:w="2354"/>
      </w:tblGrid>
      <w:tr>
        <w:trPr>
          <w:tblHeader/>
          <w:cantSplit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5"/>
              </w:rPr>
              <w:t xml:space="preserve">Фактор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Целевой показатель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Шум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Фильтрующие центрифуги 1 800 об/мин, циркуляционные насосы, водокольцевые вакуум-насосы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По нормам для рабочих мест; уровни — по опросным листам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ГОСТ 12.1.003-2014; СанПиН 1.2.3685-21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Вибрация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Фильтрующие центрифуги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По нормам для рабочих мест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ГОСТ 12.1.012-2004; центрифуги на индивидуальных виброизолированных фундаментах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Тепловое облучение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Изолированные поверхности аппаратов и паропроводов</w:t>
            </w:r>
          </w:p>
        </w:tc>
        <w:tc>
          <w:tcPr>
            <w:tcW w:w="2100" w:type="dxa"/>
          </w:tcPr>
          <w:p>
            <w:r>
              <w:rPr>
                <w:sz w:val="16"/>
              </w:rPr>
              <w:t xml:space="preserve">Температура доступных поверхностей не выше 45 °C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СП 61.13330.2012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8.2 Контроль воздуха рабочей зоны</w:t>
      </w:r>
    </w:p>
    <w:p>
      <w:r>
        <w:rPr>
          <w:sz w:val="20"/>
        </w:rPr>
        <w:t xml:space="preserve">Контроль воздуха рабочей зоны организуется по программе производственного контроля: периодический отбор проб в зонах фугования, фасовки и пробоотбора на содержание солей никеля и меди и аэрозоля серной кислоты, переносной контроль при вскрытии аппаратов и при работах в приямках. Уборка полов влажная, с возвратом смывов в технологию через сборные приямки.</w:t>
      </w:r>
    </w:p>
    <w:p>
      <w:pPr>
        <w:pStyle w:val="Heading1"/>
      </w:pPr>
      <w:r>
        <w:rPr>
          <w:b/>
          <w:sz w:val="28"/>
        </w:rPr>
        <w:t xml:space="preserve">9.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расчётов текущей стадии либо технических предложений изготовителей. Каждая позиция закрывается до выдачи разделов отопления и вентиляции и охраны окружающей среды проектной документации.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Количественные выделения пыли и аэрозолей от узла фасовки и центрифуг — по опросным листам изготовителей (предварительно по аналогам)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Тепловыделения после выбора изоляции (фактическая поверхность и толщины) — уточнение к выдаче в раздел отопления и вентиляции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Подтверждение категории Д расчётом и класса среды по СП 28.13330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Расчёт подсосов воздуха и количественный состав выхлопа водокольцевых вакуум-насосов до и после конденсации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Данные до и после очистки по аспирации узла фасовки — по опросному листу и паспорту изготовителя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Количественная оценка влаговыделений от гидрозатворов и приямков после фиксации компоновки приямков и площадей открытых зеркал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Тепловыделение водокольцевых вакуум-насосов пароэжекторных блоков — по техническим предложениям изготовителей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