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№3 «Отделение электроэкстракции»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Базис размещения — новое строительство корпуса 36 × 190 м смежно с участками комплекса (ТЗ ред. 4.1 п. 1.3). Приспособление существующего корпуса электрорафинирования меди металлургического цеха сохранено как резервный сценарий: корпус проектировался под ванны электрорафинирования, суммарная нагрузка сопоставима, но раскладка опор иная, поэтому поверочный расчёт несущих конструкций подванных отметок и подкрановых путей обязателен.</w:t>
      </w:r>
    </w:p>
    <w:p>
      <w:r>
        <w:rPr>
          <w:color w:val="666666"/>
          <w:sz w:val="17"/>
        </w:rPr>
        <w:t xml:space="preserve">Источник: ИД ч.2 (табл. 4.2, п. 4.2.2, приложение В — строительное задание на отделение); ТЗ на БИ ред. 4.1 (п. 1.3 — базис размещения, п. 2.9 — условия площадки);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ОВЭ75-БИ-Л3-КР — Компоновочные решения (планы, разрезы)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воздействия: сочетания, крановые динамические коэффициенты, снег V/ветер II районов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14.13330.2018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Строительство в сейсмических районах (6 баллов)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Химзащита фундаментов и подванных конструкций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34467-2018 / ФНП № 461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Краны мостовые: группы режимов, требования безопасности (номер ГОСТ уточняется)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Полы: уклоны, зумпфы, химстойкие покрытия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961-89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Плитки кислотоупорные и термокислотоупорные керамические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72.13330.2016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Производство и приёмка работ по антикоррозионной защите (скрытые слои)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ПУЭ (изд. 7), разд. 7.10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Изоляция ванн от строительных конструкций, контроль блуждающих токов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Снеговая и ветровая нагрузки учитываются при проверке покрытия, в том числе при устройстве новых проёмов под воздуховоды аспирации ванн. Сейсмическое воздействие 6 баллов учитывается антисейсмическими упорами опор ванн (требование строительного задания поставщика ванн) и проверкой по СП 14.13330.2018.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Электролиз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Электролизная ванна</w:t>
            </w:r>
          </w:p>
          <w:p>
            <w:r>
              <w:rPr>
                <w:color w:val="666666"/>
                <w:sz w:val="13"/>
              </w:rPr>
              <w:t xml:space="preserve">поз. 4.2.3 по ИД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Подванные конструкции зала; борт +1,0…+1,2 от пола; ряды по 45 ванн, шаг 1,40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8,7 (полимербетонный корпус ≈8,8 × 1,5 × 1,8 м)</w:t>
            </w:r>
          </w:p>
          <w:p>
            <w:r>
              <w:rPr>
                <w:sz w:val="14"/>
              </w:rPr>
              <w:t xml:space="preserve">Рабочая: 41,0; при обслуживании до 51,4 (см. примечание 1)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 КВАНТ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4–6 опорных тумб с двухступенчатой электроизоляцией и антисейсмическими упорами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Эквивалентная 36 кПа (41,0 т на 11,37 м²); при обслуживании до 45 кПа; погонная 29,3 т/м ряда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Собственной нет; кратковременно 8,7 т от закорачивающей рамы на борта соседних ванн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Аноды из свинцового сплава</w:t>
            </w:r>
          </w:p>
          <w:p>
            <w:r>
              <w:rPr>
                <w:color w:val="666666"/>
                <w:sz w:val="13"/>
              </w:rPr>
              <w:t xml:space="preserve">Pb-Ca / Pb-Ag сплавы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 ваннах, подвес на бортах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5,525 на ванну (85 шт. по 65 кг)</w:t>
            </w:r>
          </w:p>
          <w:p>
            <w:r>
              <w:rPr>
                <w:sz w:val="14"/>
              </w:rPr>
              <w:t xml:space="preserve">Рабочая: То же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Через борта ванны на опорные тумбы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Учтены в рабочей массе ванны 41,0 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Катодные матрицы (постоянные катоды)</w:t>
            </w:r>
          </w:p>
          <w:p>
            <w:r>
              <w:rPr>
                <w:color w:val="666666"/>
                <w:sz w:val="13"/>
              </w:rPr>
              <w:t xml:space="preserve">Система SPLIT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 ваннах, подвес на бортах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≈4,2–4,6 на ванну (84 шт. без осадка)</w:t>
            </w:r>
          </w:p>
          <w:p>
            <w:r>
              <w:rPr>
                <w:sz w:val="14"/>
              </w:rPr>
              <w:t xml:space="preserve">Рабочая: 11,592 на ванну с наращённым металлом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Через борта ванны на опорные тумбы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Учтены в рабочей массе ванны 41,0 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При выгрузке комплекта нагрузка переходит на подкрановые конструкции;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Ошиновка ванн</w:t>
            </w:r>
          </w:p>
          <w:p>
            <w:r>
              <w:rPr>
                <w:color w:val="666666"/>
                <w:sz w:val="13"/>
              </w:rPr>
              <w:t xml:space="preserve">Конструкция с двойным контактом разработки Outotec или аналоги; кол-во: Комплект на 180 ванн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Межванновые сборные шины в зазорах 85 мм; шинные мосты по торцам серий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 (медь, ≈42–47 тыс. мм² на серию)</w:t>
            </w:r>
          </w:p>
          <w:p>
            <w:r>
              <w:rPr>
                <w:sz w:val="14"/>
              </w:rPr>
              <w:t xml:space="preserve">Рабочая: То же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 борта ванн через изоляторы; мосты — на самостоятельных опорах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Передаётся на борта ванн и опоры мостов; значения по данным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Аспирационные укрытия ванн</w:t>
            </w:r>
          </w:p>
          <w:p>
            <w:r>
              <w:rPr>
                <w:color w:val="666666"/>
                <w:sz w:val="13"/>
              </w:rPr>
              <w:t xml:space="preserve">Бортовой отсос + легкосъёмный колпак; кол-во: 180 комплектов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Колпаки и бортовой отсос на ваннах; сборный воздуховод в межрядном пространстве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То же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прил. В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Колпаки — на бортах ванн; воздуховод — на независимых стойках и подвесках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данным поставщика; нагрузка воздуховода — на конструкции здания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Циркуляция электролита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Циркуляционный бак (бак питания ванн)</w:t>
            </w:r>
          </w:p>
          <w:p>
            <w:r>
              <w:rPr>
                <w:color w:val="666666"/>
                <w:sz w:val="13"/>
              </w:rPr>
              <w:t xml:space="preserve">Бак с перегородкой; поз. 4.2.1 по ИД; кол-во: 2 (по числу серий)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Электролитное отделение, отметка ниже ванн для самотёчного слива; 2 × 300 м³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25–40 в стальном исполнении (ориентировочно)</w:t>
            </w:r>
          </w:p>
          <w:p>
            <w:r>
              <w:rPr>
                <w:sz w:val="14"/>
              </w:rPr>
              <w:t xml:space="preserve">Рабочая: ≈380–400 брутто каждый (300 м³ × 1,2 т/м³ и тара)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расчёт КВАНТ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Отдельный фундамент; кислотоупорный поддон на 100 % объёма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≈380–400 т на фундамент каждого бака; жёсткое требование к осадкам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заполнение и опорожнение — длительная переменная нагрузка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Холодильник электролита пластинчатый</w:t>
            </w:r>
          </w:p>
          <w:p>
            <w:r>
              <w:rPr>
                <w:color w:val="666666"/>
                <w:sz w:val="13"/>
              </w:rPr>
              <w:t xml:space="preserve">Пластинчатый теплообменник, охлаждение водой; поз. 4.2.2 по ИД; кол-во: 2 (по числу серий)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Электролитное отделение,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изготовителя</w:t>
            </w:r>
          </w:p>
          <w:p>
            <w:r>
              <w:rPr>
                <w:sz w:val="14"/>
              </w:rPr>
              <w:t xml:space="preserve">Рабочая: По данным изготовителя, с заполнением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фундаменте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В объём БИ по лоту не входит; нагрузки — задание смежному проектировщику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Обработка катодов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Торец зала у ворот склада готовой продукции, 0,000; зона 30–35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 (станция сдирки — самый тяжёлый блок)</w:t>
            </w:r>
          </w:p>
          <w:p>
            <w:r>
              <w:rPr>
                <w:sz w:val="14"/>
              </w:rPr>
              <w:t xml:space="preserve">Рабочая: По данным поставщика, с матрицами и промывными растворами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прил. В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фундаменте; химстойкий пол с трапами; гидростанция 120 бар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строительному заданию поставщика (прил. В, п. 15)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Циклические знакопеременные усилия манипуляторов и станции сдирки;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формирования пакетов катодов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КСМ, 0,000; выход пакетного конвейера к передаточным воротам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Пакеты 1400–2000 кг (по заданию сбыта 2500 ± 50 кг)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через закладные детали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Нагрузка накопителя пакетов на плиту пола — по компоновке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КСМ,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По данным поставщика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данным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Подъёмно-транспортное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  <w:p>
            <w:r>
              <w:rPr>
                <w:color w:val="666666"/>
                <w:sz w:val="13"/>
              </w:rPr>
              <w:t xml:space="preserve">кол-во: 2 (по одному на серию/пролёт)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Подкрановые пути пролётов серий; отметки существующих путей +8,65…+10,60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Мост и тележка — по ТКП</w:t>
            </w:r>
          </w:p>
          <w:p>
            <w:r>
              <w:rPr>
                <w:sz w:val="14"/>
              </w:rPr>
              <w:t xml:space="preserve">Рабочая: Груз до 11,6 плюс траверса 3–5; требуемая г/п ориентировочно 16–20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расчёт; СП 20.13330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Подкрановые балки и колонны; при использовании существующих путей — поверочный расчёт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Колёсные нагрузки — по ТКП крана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Группа режима не легче А6/М7; вертикальные и горизонтальные крановые;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Автоматизированная транспортировка пакетов катодной меди на СГП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Трасса от зоны КСМ к воротам склада готовой продукции,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поставщика</w:t>
            </w:r>
          </w:p>
          <w:p>
            <w:r>
              <w:rPr>
                <w:sz w:val="14"/>
              </w:rPr>
              <w:t xml:space="preserve">Рабочая: С пакетом 1400–2500 кг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конвейера на плиту пола через закладные детали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трассы и пакетов — по данным поставщика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Реагенты (вне табл. 4.2)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Ёмкости приготовления, хранения и дозирования коллоидной добавки</w:t>
            </w:r>
          </w:p>
          <w:p>
            <w:r>
              <w:rPr>
                <w:color w:val="666666"/>
                <w:sz w:val="13"/>
              </w:rPr>
              <w:t xml:space="preserve">кол-во: 2 (поочерёдно работающие)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Узел реагентов электролитного отделения,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С заполнением на 12 ч работы каждой ёмкости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в поддоне; тихоходные рамные мешалки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 и объёму заполнения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Тихоходные мешалки; коэффициент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Питание током (не в БИ)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Выпрямители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Существующая преобразовательная подстанция у торца зала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данным изготовителя</w:t>
            </w:r>
          </w:p>
          <w:p>
            <w:r>
              <w:rPr>
                <w:sz w:val="14"/>
              </w:rPr>
              <w:t xml:space="preserve">Рабочая: По данным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 п. 5.3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Существующие фундаменты подстанции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В объём БИ по лоту не входит; нагрузки — задание смежному проектировщику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Состав рабочей массы ванны 41,0 т: корпус 8,7 + электролит 14,9 + аноды 5,525 + катоды с наращённым металлом 11,592 + остаток шлама 0,25. Объём электролита при уровне 1340 мм: 8,485 × 1,155 × 1,34 = 13,13 м³ за вычетом вытеснения электродами (катоды 0,27 м³, аноды 0,46 м³) — 12,4 м³ при плотности 1,2 т/м³.</w:t>
      </w:r>
    </w:p>
    <w:p>
      <w:r>
        <w:rPr>
          <w:sz w:val="20"/>
        </w:rPr>
        <w:t xml:space="preserve">2. Расчётный случай обслуживания: 41,0 + 10,0 (сборка подъёмной и закорачивающей рам) + 0,4 (персонал) = 51,4 т. Закорачивающая рама 8,7 т опирается на борта соседних ванн.</w:t>
      </w:r>
    </w:p>
    <w:p>
      <w:r>
        <w:rPr>
          <w:sz w:val="20"/>
        </w:rPr>
        <w:t xml:space="preserve">3. Удельные нагрузки 36 и 45 кПа приведены для сопоставления с несущей способностью перекрытий. Фактическая передача — сосредоточенная, через опорные тумбы с электроизоляцией; точечные нагрузки и их разложение по осям выдаёт поставщик ванн в строительном задании.</w:t>
      </w:r>
    </w:p>
    <w:p>
      <w:r>
        <w:rPr>
          <w:sz w:val="20"/>
        </w:rPr>
        <w:t xml:space="preserve">4. Суммарная нагрузка: серия из 90 ванн около 3690 т, отделение из 180 ванн около 7380 т без рам и кранов. Значения используются для оценки воздействия на основание и сопоставления с несущей способностью существующего корпуса.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Суммарная нагрузка от ванн на здание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Подванные конструкции электролизного зала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Серия 90 ванн ≈3690 т; отделение 180 ванн ≈7380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Оценка суммарного воздействия на основание и сопоставление с несущей способностью корпуса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Эксплуатационные добавки к нагрузке ванны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Борта и опоры ванн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Персонал 0,4 т; опирание рамы позиционирования крана 0,3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в расчётном случае обслуживания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Коэффициенты надёжности по нагрузке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Все расчётные сочетания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γf = 1,05–1,2 для оборудования с известной массой; γf = 1,2 для жидкости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Сочетания по СП 20.13330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Нагрузка на подкрановые конструкции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Подкрановые пути пролётов серий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 до 11,6 т плюс траверса 3–5 т; г/п ориентировочно 16–20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Обязателен поверочный расчёт существующих путей и колонн при модернизации кранов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Монтажные проёмы торца зала, трасса подачи ванн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Ванна 8,7 т; сборка рам 10,0 т; циркуляционный бак — секциями либо по месту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Подъём ванн траверсой за штатные точки; перекос недопустим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Нагрузки на покрытие при новых проёмах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Покрытие зала в местах прохода воздуховодов аспирации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Снеговая 3,2 кПа, ветровая 0,30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Проверка покрытия при устройстве новых проёмов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ТЗ п. 2.9.3–2.9.4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Ванна в работе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41,0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Ванна при обслуживании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До 51,4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Эквивалентная удельная нагрузка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36 кПа в эксплуатации; до 45 кПа при обслуживании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Погонная нагрузка ряда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29,3 т на метр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Серия из 90 ванн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≈3690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Отделение из 180 ванн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≈7380 т (без рам и кранов)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Циркуляционный бак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≈380–400 т брутто на фундамент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Машин с неуравновешенными вращающимися массами в отделении нет. Определяющие динамические воздействия — крановые нагрузки при высокой интенсивности циклов обслуживания ванн и циклические усилия катодосдирочной машины; дополнительно учитывается кратковременная нагрузка от перестановки закорачивающей рамы.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Специальные автоматические краны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торможения; около 28 обслуживаний ванн в сутки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Груз до 11,6 плюс траверса 3–5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воздействия на подкрановые балки; горизонтальные поперечные — от торможения тележки с грузом на гибком подвесе; продольные — от торможения моста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Группа режима работы не легче А6/М7; коэффициенты по СП 20.13330 по группе режима; обязателен поверочный расчёт существующих путей и колонн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Катодосдирочная машина</w:t>
            </w:r>
          </w:p>
          <w:p>
            <w:r>
              <w:rPr>
                <w:color w:val="666666"/>
                <w:sz w:val="13"/>
              </w:rPr>
              <w:t xml:space="preserve">1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Производительность 105–120 матриц/ч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данным поставщика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Циклические знакопеременные усилия манипуляторов и станции сдирки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Требования к жёсткости основания и динамические коэффициенты — по строительному заданию поставщика (прил. В, п. 15)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Перестановка закорачивающей рамы</w:t>
            </w:r>
          </w:p>
          <w:p>
            <w:r>
              <w:rPr>
                <w:color w:val="666666"/>
                <w:sz w:val="13"/>
              </w:rPr>
              <w:t xml:space="preserve">По циклу обслуживания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Кратковременное воздействие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8,7 (рама)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Кратковременная сосредоточенная нагрузка на борта двух соседних ванн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Учтена в прочности бортов ванн; на конструкции передаётся через опорные тумбы</w:t>
            </w:r>
          </w:p>
          <w:p>
            <w:r>
              <w:rPr>
                <w:color w:val="666666"/>
                <w:sz w:val="13"/>
              </w:rPr>
              <w:t xml:space="preserve">Источник: ИД ч.2 прил. В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Мешалки узла реагентов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Тихоходные приводы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Малые динамические добавки к статической нагрузке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1,1–1,2 (предварительно)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Подванные конструкции</w:t>
      </w:r>
    </w:p>
    <w:p>
      <w:r>
        <w:rPr>
          <w:sz w:val="20"/>
        </w:rPr>
        <w:t xml:space="preserve">Под рядами ванн выполняется непрерывный кислотоупорный пол-поддон с бортиком и зумпфами; в проходах и по трассе переноса матриц краном — полы с уклонами к сливным карманам. Подванное пространство вмещает рельсы мобильного нутч-фильтра, систему отвода избыточного раствора на гибкой подводке и сливные карманы.</w:t>
      </w:r>
    </w:p>
    <w:p>
      <w:r>
        <w:rPr>
          <w:b/>
          <w:sz w:val="21"/>
        </w:rPr>
        <w:t xml:space="preserve">Кислотозащита</w:t>
      </w:r>
    </w:p>
    <w:p>
      <w:r>
        <w:rPr>
          <w:sz w:val="20"/>
        </w:rPr>
        <w:t xml:space="preserve">Среда — электролит 112–120 кг/м³ серной кислоты при 50 °C и аэрозоль кислоты; по СП 28.13330 это сильноагрессивная среда для бетона и арматуры. Принимается принцип двух барьеров: первичная защита — бетоны повышенной плотности и водонепроницаемости; вторичная — непроницаемый подслой (химстойкая мембрана или оклеечная изоляция) и износостойкое покрытие: кислотоупорная керамическая плитка по ГОСТ 961-89 на химстойких замазках в зонах механических воздействий, монолитные винилэфирные покрытия в проходах. Термостойкость материалов — до 50 °C по электролиту, в зоне катодосдирочной машины до 90–115 °C.</w:t>
      </w:r>
    </w:p>
    <w:p>
      <w:r>
        <w:rPr>
          <w:b/>
          <w:sz w:val="21"/>
        </w:rPr>
        <w:t xml:space="preserve">Поддоны и объёмы защиты</w:t>
      </w:r>
    </w:p>
    <w:p>
      <w:r>
        <w:rPr>
          <w:sz w:val="20"/>
        </w:rPr>
        <w:t xml:space="preserve">Поддоны выполняются на 100 % объёма наибольшей ёмкости (для циркуляционного бака — 300 м³); зона катодосдирочной машины — химстойкий пол с трапами и оборотом промывных вод. Ориентировочный объём защищаемых полов для нового корпуса — около 7,8 тыс. м² (зал 36 × 190 м и электролитный пристрой 24 × 42 м) плюс зумпфы, карманы, фундаменты ванн и поддоны баков.</w:t>
      </w:r>
    </w:p>
    <w:p>
      <w:r>
        <w:rPr>
          <w:b/>
          <w:sz w:val="21"/>
        </w:rPr>
        <w:t xml:space="preserve">Электрокоррозионная безопасность</w:t>
      </w:r>
    </w:p>
    <w:p>
      <w:r>
        <w:rPr>
          <w:sz w:val="20"/>
        </w:rPr>
        <w:t xml:space="preserve">Постоянный ток серий 42,45 кА — источник блуждающих токов через проливы и конструкции. Мероприятия: двухступенчатая электроизоляция опор ванн, электрические разрывы трубопроводов на подаче и приёме, изолирующие стыки закладных рельсов нутч-фильтра, периодический контроль сопротивления изоляции ванн и серий. Секционирование арматурных сеток подванной плиты и контроль потенциалов определяются на стадии БИ совместно со строительным разделом.</w:t>
      </w:r>
    </w:p>
    <w:p>
      <w:r>
        <w:rPr>
          <w:b/>
          <w:sz w:val="21"/>
        </w:rPr>
        <w:t xml:space="preserve">Фундаменты бакового хозяйства</w:t>
      </w:r>
    </w:p>
    <w:p>
      <w:r>
        <w:rPr>
          <w:sz w:val="20"/>
        </w:rPr>
        <w:t xml:space="preserve">Циркуляционные баки 2 × 300 м³ — отдельные фундаменты с жёстким требованием к неравномерности осадок и кислотоупорным поддоном на полный объём. Все фундаменты — с химзащитой по СП 28.13330; производство и приёмка работ по защите — по СП 72.13330 с пооперационными актами на скрытые слои.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Поверочный расчёт существующих конструкций существующего корпуса электрорафинирования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Строительные задания поставщиков (ванны, катодосдирочная машина,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моста и тележки специальных кранов, масса станции сдирки катодосдирочной машины — по техническим предложениям поставщиков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(стальные секции заводской поставки либо бетонные корпуса по месту) и, соответственно, масса пустого аппарата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