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№3 «Отделение электроэкстракции»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ИД ч.2 (табл. 4.2, п. 4.2.2, приложение В); ТЗ на БИ ред. 4.1 — границы Лота №3 (п. 6.2) и перечни включаемого и не включаемого в БИ оборудования (п. 6.3)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Оборудование получения катодной меди. Размещается в существующем корпусе электрорафинирования меди металлургического цеха (ЦЭМ): шаг колонн 24 000 мм, крановый пролёт 22 000 мм. 180 ванн в две серии по 90 шт., каждая серия в отдельном пролёте, обслуживается своим спецкраном.</w:t>
      </w:r>
    </w:p>
    <w:p>
      <w:r>
        <w:rPr>
          <w:sz w:val="20"/>
        </w:rPr>
        <w:t xml:space="preserve">Участки лота по ТЗ: циркуляция и охлаждение электролита; электролизные ванны с аспирационными укрытиями; роботизированная катодосдирочная машина (КСМ); формирование пакетов катодов; ошиновка и токоподвод; спецкраны с системой позиционирования.</w:t>
      </w:r>
    </w:p>
    <w:p>
      <w:r>
        <w:rPr>
          <w:sz w:val="20"/>
        </w:rPr>
        <w:t xml:space="preserve">Режим работы: 358 дней/год, 8585 ч, круглосуточно.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По ТЗ в состав Базового инжиниринга Лота №3 не включаются: шины магистральные; выпрямители для ванн электроэкстракции; напорный трубопровод для ванн; сливной трубопровод для ванн; система аспирации от ванн и очистки аспирационных газов; циркуляционные насосы; грузоподъёмное оборудование; нутч-фильтр; оборудование для обработки свинцового шлама и отработанных свинцовых анодов; теплообменники.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ОВЭ75-БИ-Л3-ПЗ — Пояснительная записка</w:t>
      </w:r>
    </w:p>
    <w:p>
      <w:r>
        <w:rPr>
          <w:sz w:val="20"/>
        </w:rPr>
        <w:t xml:space="preserve">— ОВЭ75-БИ-Л3-PFD — Принципиальная технологическая схема (PFD)</w:t>
      </w:r>
    </w:p>
    <w:p>
      <w:r>
        <w:rPr>
          <w:sz w:val="20"/>
        </w:rPr>
        <w:t xml:space="preserve">— ОВЭ75-БИ-Л3-ОЛ — Опросные листы основного оборудования (альбом)</w:t>
      </w:r>
    </w:p>
    <w:p>
      <w:r>
        <w:rPr>
          <w:sz w:val="20"/>
        </w:rPr>
        <w:t xml:space="preserve">— ОВЭ75-БИ-Л3-ДЦ — Исходные требования на длинноцикловое оборудование</w:t>
      </w:r>
    </w:p>
    <w:p>
      <w:r>
        <w:rPr>
          <w:sz w:val="20"/>
        </w:rPr>
        <w:t xml:space="preserve">— ОВЭ75-БИ-Л3-МТ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ОВЭ75-БИ-Л3-ЭС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ОВЭ75-БИ-Л3-LL — Перечень трубопроводов, арматуры и приборов КИПиА (line list)</w:t>
      </w:r>
    </w:p>
    <w:p>
      <w:r>
        <w:rPr>
          <w:sz w:val="20"/>
        </w:rPr>
        <w:t xml:space="preserve">— ОВЭ75-БИ-Л3-СТ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Нестандартизированное изделие; изготавливается заводом-изготовителем по техническим требованиям и эскизным чертежам Исполнителя (задание на изготовление).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Закупка нового оборудования либо модернизация существующего оборудования Заказчика; выбор — по результатам обследования и ТКП.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Вне БИ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Позиция в объём Базового инжиниринга по лоту не входит; приводится справочно для увязки границ; в составе БИ по ней выдаётся задание на стыке смежному проектировщику или поставщику.</w:t>
            </w:r>
          </w:p>
        </w:tc>
      </w:tr>
    </w:tbl>
    <w:p>
      <w:r>
        <w:rPr>
          <w:sz w:val="20"/>
        </w:rPr>
        <w:t xml:space="preserve">По документации Исполнителя (технические требования, эскизные чертежи) изготавливаются: циркуляционный бак (бак питания ванн). Комплектно по ТКП изготовителей поставляются 11 позиций из 14. Справочно (вне объёма БИ по лоту) в таблицу включены: выпрямители.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№3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Циркуляция электролита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Циркуляционный бак (бак питания ванн)</w:t>
            </w:r>
          </w:p>
          <w:p>
            <w:r>
              <w:rPr>
                <w:color w:val="333333"/>
                <w:sz w:val="15"/>
              </w:rPr>
              <w:t xml:space="preserve">Бак с перегородкой</w:t>
            </w:r>
          </w:p>
          <w:p>
            <w:r>
              <w:rPr>
                <w:color w:val="555555"/>
                <w:sz w:val="14"/>
              </w:rPr>
              <w:t xml:space="preserve">Поз. по ИД: 4.2.1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Смешение богатого раствора выщелачивания с бедным электролитом из ванн, приём растворов промывки катодов и системы аспирации, дозирование коллоидной/антиаэрозольной добавки и кислоты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Запас объёма 0,25 ч; поток 1634,5 м³/ч; расч. 408,6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Конструкционная сталь или армированный бетон с кислотоупорной футеровкой; допускается изготовление по месту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V = 300,0 м³ на нитку; факт. 510,0 м³; коэфф. запаса 1,2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Холодильник электролита пластинчатый</w:t>
            </w:r>
          </w:p>
          <w:p>
            <w:r>
              <w:rPr>
                <w:color w:val="333333"/>
                <w:sz w:val="15"/>
              </w:rPr>
              <w:t xml:space="preserve">Пластинчатый теплообменник, охлаждение водой</w:t>
            </w:r>
          </w:p>
          <w:p>
            <w:r>
              <w:rPr>
                <w:color w:val="555555"/>
                <w:sz w:val="14"/>
              </w:rPr>
              <w:t xml:space="preserve">Поз. по ИД: 4.2.2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богатого раствора перед подачей в ванны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Тепловая мощность 3772 кВт расчётная; 50,0 → 48,2 °С по потоку 1634,5 м³/ч; 22,5 → 37,5 °С по воде 216,1 м³/ч</w:t>
            </w:r>
          </w:p>
          <w:p>
            <w:r>
              <w:rPr>
                <w:i/>
                <w:color w:val="555555"/>
                <w:sz w:val="14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 числу серий)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316L или аналог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W = 2500 кВт на нитку; факт. 5000 кВт; коэфф. запаса 1,3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Электролиз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Электролизная ванна</w:t>
            </w:r>
          </w:p>
          <w:p>
            <w:r>
              <w:rPr>
                <w:color w:val="333333"/>
                <w:sz w:val="15"/>
              </w:rPr>
              <w:t xml:space="preserve">Полимербетонные ванны Unicell или аналоги; характеристики по проекту ДЕЛЬТА (ИД ч.2, приложение В)</w:t>
            </w:r>
          </w:p>
          <w:p>
            <w:r>
              <w:rPr>
                <w:color w:val="555555"/>
                <w:sz w:val="14"/>
              </w:rPr>
              <w:t xml:space="preserve">Поз. по ИД: 4.2.3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Электроэкстракция меди из растворов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I факт = 42,45 кА; D расч = 280,0 А/м², D факт = 252,7 А/м²; производительность 49,49 кг/ч на ванну, 8066,1 кг/ч всего</w:t>
            </w:r>
          </w:p>
          <w:p>
            <w:r>
              <w:rPr>
                <w:i/>
                <w:color w:val="555555"/>
                <w:sz w:val="14"/>
              </w:rPr>
              <w:t xml:space="preserve">Конструкция интегрирована с аспирацией: бортовой отсос + легкосъёмный колпак. Дно с уклоном к центру, донная пробка для выгрузки шлама. Чистка от свинцового шлама обычно не чаще 1 раза в год.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(2 серии × 90); расчётно 163 шт., коэфф. запаса 1,104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Полимербетон (монолитный винилэфирный композит)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Внутренние габариты 8485 × 1155 × 1650 мм (Д×Ш×В); 84 катода, 85 анодов</w:t>
            </w:r>
          </w:p>
          <w:p>
            <w:r>
              <w:rPr>
                <w:color w:val="333333"/>
                <w:sz w:val="15"/>
              </w:rPr>
              <w:t xml:space="preserve">Масса ванны 8,7 т (180 шт. — 1566 т); закорачивающая рама 8,7 т, подъёмная рама в сборе с закорачивающей 10,0 т; в комплекте: коллектор подачи с креплениями, закладные рельсов нутча, донная пробка, конусы позиционирования крана</w:t>
            </w:r>
          </w:p>
          <w:p>
            <w:r>
              <w:rPr>
                <w:color w:val="666666"/>
                <w:sz w:val="13"/>
              </w:rPr>
              <w:t xml:space="preserve">Источник: ИД ч.2 прил. В; расчёт масс поставки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Аноды из свинцового сплава</w:t>
            </w:r>
          </w:p>
          <w:p>
            <w:r>
              <w:rPr>
                <w:color w:val="333333"/>
                <w:sz w:val="15"/>
              </w:rPr>
              <w:t xml:space="preserve">Pb-Ca / Pb-Ag сплавы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Аноды ванн электроэкстракции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85 анодов на ванну; расход 2300 шт./год (0,033 шт. на т Cu)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× 85 = 15 300 шт. первичная загрузка (расчётно)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Свинцовый сплав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940 × 952 × 6 мм, холоднокатаные, сплав Pb–Ca (0,06–0,08 %)–Sn (1,35–1,5 %); ≈65 кг/шт., первичная загрузка ≈995 т</w:t>
            </w:r>
          </w:p>
          <w:p>
            <w:r>
              <w:rPr>
                <w:color w:val="666666"/>
                <w:sz w:val="13"/>
              </w:rPr>
              <w:t xml:space="preserve">Источник: ИД ч.2 табл. 8.5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Катодные матрицы (постоянные катоды)</w:t>
            </w:r>
          </w:p>
          <w:p>
            <w:r>
              <w:rPr>
                <w:color w:val="333333"/>
                <w:sz w:val="15"/>
              </w:rPr>
              <w:t xml:space="preserve">Система SPLIT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Матрицы для наращивания катодной меди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84 катода на ванну; расход 1150 шт./год (0,017 шт. на т Cu); масса катода 76,8 кг (6 сут) / 89,7 кг (7 сут) без массы матрицы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× 84 = 15 120 шт. первичная загрузка (расчётно)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1000 × 1000 × 3,25 мм, сталь 316L, с полипропиленовым обрамлением; 50–55 кг/шт., первичная загрузка 756–832 т</w:t>
            </w:r>
          </w:p>
          <w:p>
            <w:r>
              <w:rPr>
                <w:color w:val="666666"/>
                <w:sz w:val="13"/>
              </w:rPr>
              <w:t xml:space="preserve">Источник: ИД ч.2 табл. 8.5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Аспирационные укрытия ванн</w:t>
            </w:r>
          </w:p>
          <w:p>
            <w:r>
              <w:rPr>
                <w:color w:val="333333"/>
                <w:sz w:val="15"/>
              </w:rPr>
              <w:t xml:space="preserve">Бортовой отсос + легкосъёмный колпак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Локальная аспирация ванн, исключающая достижение точки росы под колпаками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Периодическая промывка коллекторов водой против накопления сухих солей; слив промывных растворов в буферную ёмкость или в питание скруббера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180 комплектов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Коррозионностойкое исполнение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Ошиновка ванн</w:t>
            </w:r>
          </w:p>
          <w:p>
            <w:r>
              <w:rPr>
                <w:color w:val="333333"/>
                <w:sz w:val="15"/>
              </w:rPr>
              <w:t xml:space="preserve">Конструкция с двойным контактом разработки Outotec или аналоги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Токоподвод с уравнительной шиной для анодов и/или катодов — равномерное распределение тока, работа при более высоких плотностях тока и выходе по току</w:t>
            </w:r>
          </w:p>
        </w:tc>
        <w:tc>
          <w:tcPr>
            <w:tcW w:w="2500" w:type="dxa"/>
          </w:tcPr>
          <w:p>
            <w:r>
              <w:rPr>
                <w:sz w:val="15"/>
              </w:rPr>
              <w:t xml:space="preserve">Ток серии 47,0 кА; падение напряжения в межванновой ошиновке ≤ 0,06 В/ванну; концевые шинные мосты серий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4.2; расчёт БИ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 на 180 ванн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Медь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Обработка катодов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Роботизированная катодосдирочная машина (КСМ)</w:t>
            </w:r>
          </w:p>
          <w:p>
            <w:r>
              <w:rPr>
                <w:color w:val="333333"/>
                <w:sz w:val="15"/>
              </w:rPr>
              <w:t xml:space="preserve">Референс — поставка Outotec: роботы KUKA KR 300 (подающий) и KR 180 (выгружающий)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Полный цикл обработки катодов: промывка, отделение осадка от матриц, оптический контроль и разбраковка, пакетирование, автоматический пробоотбор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Расчётная производительность 105 шт./ч, принято 120 шт./ч (референс Outotec — 250 матриц/ч); точность позиционирования до 1 мм; персонал 1 чел.</w:t>
            </w:r>
          </w:p>
          <w:p>
            <w:r>
              <w:rPr>
                <w:color w:val="333333"/>
                <w:sz w:val="15"/>
              </w:rPr>
              <w:t xml:space="preserve">Катодный шаг 95 мм (референсное значение 100 мм приводится к фактическому)</w:t>
            </w:r>
          </w:p>
          <w:p>
            <w:r>
              <w:rPr>
                <w:color w:val="666666"/>
                <w:sz w:val="13"/>
              </w:rPr>
              <w:t xml:space="preserve">Источник: ИД ч.2 прил. В</w:t>
            </w:r>
          </w:p>
          <w:p>
            <w:r>
              <w:rPr>
                <w:i/>
                <w:color w:val="555555"/>
                <w:sz w:val="14"/>
              </w:rPr>
              <w:t xml:space="preserve">Обязательно: разделение двух пластин без сращивания по нижней кромке; электронный реестр парка матриц; «перфорация» пакета профилированием листов; пакеты 1400–2000 кг (по сбыту — 2500 ± 50 кг, увязка тремя коррозионностойкими лентами)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Конструкционная и нержавеющая сталь, ПВХ, полипропилен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380 В 50 Гц, управление 220 В; гидравлика 120 бар, пневматика 6 бар; охлаждающая вода 1,5 бар, ≤30 °С, 25 л/мин; промывка I ст. 25 м³/ч 60–80 °С, II ст. 4 м³/ч 90–115 °С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Установленная мощность 125 кВт, потребляемая 105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формирования пакетов катодов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Укладка, весовой контроль, маркировка, увязка, «перфорация» пакета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Пакеты 1400–2000 кг (сбыт требует 2500 ± 50 кг)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Оборудование автоматической изоляции кромок матриц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Нанесение изоляции кромок катодных матриц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Полипропиленовый профиль — расход 2770 кг/год</w:t>
            </w:r>
          </w:p>
          <w:p>
            <w:r>
              <w:rPr>
                <w:color w:val="333333"/>
                <w:sz w:val="15"/>
              </w:rPr>
              <w:t xml:space="preserve">Полипропиленовый профиль 1170 × 22,5 × 10 мм</w:t>
            </w:r>
          </w:p>
          <w:p>
            <w:r>
              <w:rPr>
                <w:color w:val="666666"/>
                <w:sz w:val="13"/>
              </w:rPr>
              <w:t xml:space="preserve">Источник: ИД ч.2 табл. 4.2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Подъёмно-транспортное оборудование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Съём/установка колпаков, выгрузка катодов (1/3 ванны с равномерным шагом), транспортировка в КСМ и обратно, пошаговая установка матриц; ручной режим — замена анодов и чистка ванн от шлама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График выгрузки формируется в зависимости от плана-задания и токовой нагрузки; комплектуются бороной и поддоном для сбора проливов; рекомендуется система ИК-датчиков контроля контактного хозяйства и КЗ в ваннах</w:t>
            </w:r>
          </w:p>
          <w:p>
            <w:r>
              <w:rPr>
                <w:i/>
                <w:color w:val="555555"/>
                <w:sz w:val="14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 одному на серию/пролёт)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Металлические элементы и оснастка — нерж. сталь 316L или аналог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Грузоподъёмность ориентировочно 16–20 т (полный комплект 84 матриц с осадком 11,6 т + траверса с поддоном 3–5 т); режим работы не легче А6/М7</w:t>
            </w:r>
          </w:p>
          <w:p>
            <w:r>
              <w:rPr>
                <w:color w:val="666666"/>
                <w:sz w:val="13"/>
              </w:rPr>
              <w:t xml:space="preserve">Источник: расчёт БИ по ИД ч.2 п. 4.2.2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 / модерни­зация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Автоматизированная транспортировка пакетов катодной меди на СГП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Передача пакетов в помещение склада готовой продукции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Реагентное хозяйство (позиции вне табл. 4.2 ИД ч.2)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Ёмкости приготовления, хранения и дозирования коллоидной добавки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Приготовление раствора гуартека (медленное растворение в тёплой воде при умеренном перемешивании) и дозирование в циркуляционные баки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обеспечивает работу от каждой ≥12 ч; тихоходные рамные мешалки</w:t>
            </w:r>
          </w:p>
          <w:p>
            <w:r>
              <w:rPr>
                <w:color w:val="333333"/>
                <w:sz w:val="15"/>
              </w:rPr>
              <w:t xml:space="preserve">В составе реагентного хозяйства также: узел добавки FC-1100 (исполнение под аналоги), узлы дозирования H₂SO₄ ≈0,33 т/ч и HCl 33 % до 0,55 кг/ч</w:t>
            </w:r>
          </w:p>
          <w:p>
            <w:r>
              <w:rPr>
                <w:color w:val="666666"/>
                <w:sz w:val="13"/>
              </w:rPr>
              <w:t xml:space="preserve">Источник: ИД ч.2 п. 1.3.13–1.3.14, прил. Б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(поочерёдно работающие)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2.6 Питание постоянным током (вне объёма БИ по Лоту №3)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Выпрямители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Питание серий ванн постоянным током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250 В (max) / 227 В (ном); I = 47,0 кА; коэфф. запаса 1,10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 (по одному на серию + резервный, ошиновка позволяет резервному работать на любую серию)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Вне БИ по Лоту №3 (перечень «не включа­ется»)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14 (участков — 6)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8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11; Изготовление — 1; Закуп / модернизация — 1; Вне БИ по Лоту №3 (перечень «не включается») — 1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14 из 14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7 из 14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 из 14 позиций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Установленная мощность по позициям с единичным значением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≈125 кВт: Роботизированная катодосдирочная машина (КСМ) — 1 × 125 кВт</w:t>
            </w:r>
          </w:p>
        </w:tc>
      </w:tr>
    </w:tbl>
    <w:p>
      <w:r>
        <w:rPr>
          <w:i/>
          <w:color w:val="555555"/>
          <w:sz w:val="18"/>
        </w:rPr>
        <w:t xml:space="preserve">Суммирование выполнено только по позициям, для которых задано одно значение мощности и целое количество единиц; позиции с диапазоном мощности и без данных в сумму не входят. Полная таблица электроприёмников лота сводится в документе по электроснабжению после получения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разделы пояснительной записки «Перечень основного и вспомогательного технологического оборудования» и «Спецификация оборудования, опросные листы, исходные требования на оборудование длительного цикла изготовления».</w:t>
      </w:r>
    </w:p>
    <w:p>
      <w:r>
        <w:rPr>
          <w:sz w:val="20"/>
        </w:rPr>
        <w:t xml:space="preserve">Перечень в границах БИ — по ТЗ v4.1 п. 6.3 («Оборудование, включаемое в состав БИ») с характеристиками по ИД ч.2 табл. 4.2; группировка по технологическим узлам.</w:t>
      </w:r>
    </w:p>
    <w:p>
      <w:r>
        <w:rPr>
          <w:sz w:val="20"/>
        </w:rPr>
        <w:t xml:space="preserve">1) ЭЛЕКТРОЛИЗНЫЙ ЗАЛ: электролизные ванны — 180 шт. (2 серии × 90; расчётно 163, запас 1,104), полимербетон монолитный (Unicell или аналог, конструкция по проекту ДЕЛЬТА), внутренние габариты 8485 × 1155 × 1650 мм, комплектация каждой: 84 катодных места + 85 анодных, коллектор подачи с креплениями, закладные рельсов нутча, донная пробка, установочные конусы позиционирования крана (прил. В); аспирационные укрытия — 180 комплектов (легкосъёмный колпак, интегрированный с бортовым отсосом), коррозионностойкое исполнение; ошиновка ванн — комплект на 180 ванн + концевые шинные мосты серий, медь, конструкция с двойным контактом (референс Outotec), падение ≤ 0,06 В/ванну; аноды Pb–Ca(0,06–0,08 %)–Sn(1,35–1,5 %) холоднокатаные 940×952×6 мм — первичная загрузка 15 300 шт.; катодные матрицы 316L 1000×1000×3,25 мм с ПП-обрамлением (система SPLIT) — первичная загрузка 15 120 шт.; закорачивающие рамы 8,7 т — не менее одной на серию (число — по графику чисток, уточняется в БИ); подъёмная рама (сборка с закорачивающей 10,0 т).</w:t>
      </w:r>
    </w:p>
    <w:p>
      <w:r>
        <w:rPr>
          <w:sz w:val="20"/>
        </w:rPr>
        <w:t xml:space="preserve">2) УЗЕЛ КСМ: роботизированная катодосдирочная машина — 1 комплект, принято 120 матриц/ч (расчёт 105; референс Outotec 250), роботы подачи/выгрузки (в референсе KUKA KR 300 / KR 180), установленная мощность 125 кВт, потребляемая 105 кВт, гидростанция 120 бар, пневматика 6 бар, охлаждающая вода 25 л/мин (≤ 30 °С, 1,5 бар), двухстадийная промывка (25 м³/ч оборотная + 4 м³/ч свежая), точность позиционирования до 1 мм, персонал 1 чел.; оборудование формирования пакетов (весовой контроль, маркировка, увязка, автоматический пробоотбор, «перфорация» профилированием листов) — пакет 2500 ± 50 кг (закрепить в опросном листе, референс 1400–2000 кг); оборудование автоматической изоляции кромок матриц — комплект (ПП-профиль 1170 × 22,5 × 10 мм, расход 2770 кг/год); автоматизированная транспортировка пакетов — конвейерная линия от КСМ до передаточных ворот СГП.</w:t>
      </w:r>
    </w:p>
    <w:p>
      <w:r>
        <w:rPr>
          <w:sz w:val="20"/>
        </w:rPr>
        <w:t xml:space="preserve">3) КРАНОВОЕ ХОЗЯЙСТВО (спецоснащение — в лоте): специальные автоматические краны с системой позиционирования — 2 шт. (по одному на серию/пролёт), грузоподъёмность ориентировочно 16–20 т (полный комплект 84 матриц с осадком 11,6 т + траверса-борона с поддоном 3–5 т), режим не легче А6/М7 (≈28 обслуживаний ванн/сут), рабочие части и оснастка 316L, ИК-контроль контактов и КЗ (рекомендация ИД п. 4.2.2).</w:t>
      </w:r>
    </w:p>
    <w:p>
      <w:r>
        <w:rPr>
          <w:sz w:val="20"/>
        </w:rPr>
        <w:t xml:space="preserve">4) ЭЛЕКТРОЛИТНОЕ ХОЗЯЙСТВО: циркуляционные баки — 2 × 300 м³ с перегородкой (расчётный запас 0,25 ч × 1634,5 м³/ч = 408,6 м³; сталь либо железобетон с кислотоупорной футеровкой, допускается изготовление по месту — ИД п. 4.2.2); узел гуартека — 2 поочерёдно работающие ёмкости (каждая ≥ 12 ч работы) с тихоходными рамными мешалками и насосами-дозаторами; узел FC-1100 (исполнение под аналоги Eagles 1100 / ChemShi NF-100); узлы дозирования H2SO4 (≈0,33 т/ч) и HCl 33 % (до 0,55 кг/ч).</w:t>
      </w:r>
    </w:p>
    <w:p>
      <w:r>
        <w:rPr>
          <w:sz w:val="20"/>
        </w:rPr>
        <w:t xml:space="preserve">СПРАВОЧНО — вне поставки лота, задание на стыке выдаёт БИ: выпрямители 3 × 47,0 кА / 227 (250) В; теплообменники 2 × 2500 кВт; циркуляционные насосы ≈820 м³/ч на серию; система аспирации со скруббером; нутч-фильтр; базовые мостовые краны (модернизация существующего парка — сценарий А).</w:t>
      </w:r>
    </w:p>
    <w:p>
      <w:r>
        <w:rPr>
          <w:sz w:val="20"/>
        </w:rPr>
        <w:t xml:space="preserve">КРИТЕРИЙ «ОСНОВНОГО» ОБОРУДОВАНИЯ (для опросных листов и ТКП; перечень фиксируется протоколом с Заказчиком): ванны, КСМ с формированием пакетов и изоляцией кромок, спецкраны, ошиновка, матрицы, аноды, укрытия, циркуляционные баки, АСУ с ППО.</w:t>
      </w:r>
    </w:p>
    <w:p>
      <w:pPr>
        <w:pStyle w:val="Heading2"/>
      </w:pPr>
      <w:r>
        <w:rPr>
          <w:b/>
          <w:sz w:val="24"/>
        </w:rPr>
        <w:t xml:space="preserve">4.1 Данные для спецификации из раздела о спецификации и опросных листах</w:t>
      </w:r>
    </w:p>
    <w:p>
      <w:r>
        <w:rPr>
          <w:sz w:val="20"/>
        </w:rPr>
        <w:t xml:space="preserve">СПЕЦИФИКАЦИЯ ОБОРУДОВАНИЯ (состав v4.1: технические характеристики, габариты, масса, энергопотребление) — ведомость по каждой позиции перечня с привязкой к PFD и компоновке. Массы серийных позиций для логистики и монтажа: ванны 180 × 8,7 т = 1566 т; аноды 15 300 × 65 кг ≈ 995 т; матрицы 15 120 × 50–55 кг ≈ 756–832 т — только три позиции дают ≈ 3,3–3,4 тыс. т поставки в Мончегорск (упаковка и транспортирование в районы Крайнего Севера — ГОСТ 15846); энергопотребление сводится в таблицу электроприёмников (раздел электроснабжения).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ОВЭ75-БИ-Л3-ОЛ, ОВЭ75-БИ-Л3-ДЦ, ОВЭ75-БИ-Л3-МТ.</w:t>
      </w:r>
    </w:p>
    <w:p>
      <w:pPr>
        <w:pStyle w:val="Heading2"/>
      </w:pPr>
      <w:r>
        <w:rPr>
          <w:b/>
          <w:sz w:val="24"/>
        </w:rPr>
        <w:t xml:space="preserve">4.2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Ванны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180 шт.; 8485×1155×1650 мм; коллектор подачи и закладные — в комплекте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прил. В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Электроды (первичная загрузка)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аноды 15 300 шт. (Pb–Ca–Sn); матрицы 15 120 шт. (316L, SPLIT)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8.5; расчёт 180 × 85 / 180 × 84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КСМ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 к-т; 120 матриц/ч; 125/105 кВт; гидравлика 120 бар, пневматика 6 бар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 (референс КСМ)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Спецкраны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шт.; Q ≈ 16–20 т; режим ≥ А6/М7; оснастка 316L; ИК-контроль КЗ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п. 4.2.2; расчёт нагрузок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Циркуляционные баки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× 300 м³ (расчёт 408,6 м³); допускается изготовление по месту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п.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Узлы реагентов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гуартек 2 ёмкости ≥ 12 ч; FC-1100 под аналоги; дозирование H2SO4/HCl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п. 1.3.13–1.3.14, прил. Б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Вне поставки (задание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выпрямители, теплообменники, насосы, аспирация, нутч, базовые краны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v4.1 п. 6.3 (перечень «не включается»)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Массы поставки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ванны 1566 т + аноды ≈995 т + матрицы 756–832 т ≈ 3,3–3,4 тыс. 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 от ИД ч.2 прил. В, табл. 8.5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Опросные листы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10 групп основного оборудования; обязательные поля: тяжелейшая неразъёмная часть, нагрузки X/Y/Z, шеф-монтаж, ЗИП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прил. В п. 15, 17; ТЗ v4.1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Привести в листах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шаг 95 мм (не 100), пакет 2500 ± 50 кг (не 1400–2000)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прил. В; требование сбыта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Длинноцикловое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ванны (180 шт., оснастка форм), КСМ, спецкраны, парк электродов, АСУ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БИ; ТЗ v4.1 (состав)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Выдача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исходные требования на длинноцикловое — в первой очереди этапной выдачи БИ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«Прочие условия» (поэтапная выдача)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сертификация/декларирование поставляемых позиций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Оборудование производственное. Общие требования безопасности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Исполнение УХЛ3 для оборудования электролизного зала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Упаковка и транспортирование в районы Крайнего Севера (≈3,4 тыс. т поставки)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5582-75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Нержавеющий прокат (отечественный аналог 316L — 03Х17Н14М3) для матриц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Позиции основной таблицы, по которым объём поставки ограничен границей БИ, существующим оборудованием Заказчика или перечнем «не включается» ТЗ: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700"/>
        <w:gridCol w:w="4200"/>
        <w:gridCol w:w="2800"/>
        <w:gridCol w:w="6580"/>
      </w:tblGrid>
      <w:tr>
        <w:trPr>
          <w:tblHeader/>
          <w:cantSplit/>
        </w:trPr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Поз.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6580" w:type="dxa"/>
            <w:shd w:val="clear" w:fill="EFEFEF"/>
          </w:tcPr>
          <w:p>
            <w:r>
              <w:rPr>
                <w:b/>
                <w:sz w:val="17"/>
              </w:rPr>
              <w:t xml:space="preserve">Ограничение объёма поставки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2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Холодильник электролита пластинчатый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В состав БИ по Лоту №3 теплообменники не включаются (перечень «не в БИ»), но параметры заданы ИД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11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Специальные автоматические краны с системой позиционирования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Закуп / модернизация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Рекомендуется использовать существующее подъёмно-транспортное оборудование ЦЭМ после модернизации (при необходимости)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14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Выпрямители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Вне БИ по Лоту №3 (перечень «не включается»)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Позиция в объём Базового инжиниринга по лоту не входит; приводится справочно для увязки границ; в составе БИ по ней выдаётся задание на стыке смежному проектировщику или поставщику.</w:t>
            </w:r>
          </w:p>
        </w:tc>
      </w:tr>
    </w:tbl>
    <w:p>
      <w:r>
        <w:rPr>
          <w:sz w:val="20"/>
        </w:rPr>
        <w:t xml:space="preserve">Перечень оборудования, не включаемого в БИ по Лоту №3 (ТЗ): шины магистральные; выпрямители для ванн электроэкстракции; напорный трубопровод для ванн; сливной трубопровод для ванн; система аспирации от ванн и очистки аспирационных газов; циркуляционные насосы; грузоподъёмное оборудование; нутч-фильтр; оборудование для обработки свинцового шлама и отработанных свинцовых анодов; теплообменники. По каждой позиции в составе БИ выдаётся задание на стыке с параметрами и физической границей.</w:t>
      </w:r>
    </w:p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«Разграничение поставки и стыковка границ с позициями „вне БИ“».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Выпрямители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задание: 3 × 47 кА / 227(250) В, резерв на любую серию, Modbus TCP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п.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Трубопроводы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граница — фланец перелива каждой ванны (5.2.3) / штуцер коллектора подачи (коллектор в комплекте ванн)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 5.2; ИД прил. В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Теплообменники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тепловое задание 2 × 2500 кВт; 50 → 48,2 °С; вода 22,5 → 37,5 °С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ч.2 табл. 4.2, 3.1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Аспирация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граница — фланец отсоса каждого из 180 укрытий (5.2.4); расход — совместное определение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 5.2; ИД п. 4.1.2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Насосы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задание ≈820 м³/ч на серию, частотное регулирование от FIC-01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расчёт БИ; ИД табл. 3.1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Краны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спецоснащение и автоматика — Лот №3; базовые краны — модернизация существующих ЦЭМ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 5.3; ИД п. 4.2.2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Шлам (вне БИ)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граница — донная пробка ванны; рельсы нутча и закладные — в комплекте ванн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п. 4.1.2, прил. В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Смежное оборудование вне БИ (справочно)</w:t>
      </w:r>
    </w:p>
    <w:p>
      <w:r>
        <w:rPr>
          <w:sz w:val="20"/>
        </w:rPr>
        <w:t xml:space="preserve">Оборудование смежных участков гидрометаллургического передела, примыкающее к лоту по материальному потоку. В объём поставки лота не входит; параметры заданы ИД ч.2 табл. 4.1 и приводятся для увязки границ и проверки исходных требований смежникам.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300"/>
        <w:gridCol w:w="3200"/>
        <w:gridCol w:w="3200"/>
        <w:gridCol w:w="1100"/>
        <w:gridCol w:w="1900"/>
        <w:gridCol w:w="1580"/>
      </w:tblGrid>
      <w:tr>
        <w:trPr>
          <w:tblHeader/>
          <w:cantSplit/>
        </w:trPr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(поз. по ИД)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58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Намывные фильтры контрольной фильтрации</w:t>
            </w:r>
          </w:p>
          <w:p>
            <w:r>
              <w:rPr>
                <w:color w:val="555555"/>
                <w:sz w:val="14"/>
              </w:rPr>
              <w:t xml:space="preserve">Поз. по ИД: 4.1.20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Получение фильтрата с минимальным количеством твёрдого — питание Лотов №2 и №3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Удельная нагрузка 0,50 м³/(м²·ч); поток 130,0 м³/ч; расч. 259,9 м²</w:t>
            </w:r>
          </w:p>
          <w:p>
            <w:r>
              <w:rPr>
                <w:i/>
                <w:color w:val="555555"/>
                <w:sz w:val="14"/>
              </w:rPr>
              <w:t xml:space="preserve">Время набора осадка 90 % от продолжительности цикла; предусмотреть линии перефильтрации мутного фильтрата и проливов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 (параллельная работа)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или аналог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S = 120 м²; факт. 360 м²; коэфф. запаса 1,2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Теплообменник подогрева бедного электролита</w:t>
            </w:r>
          </w:p>
          <w:p>
            <w:r>
              <w:rPr>
                <w:color w:val="555555"/>
                <w:sz w:val="14"/>
              </w:rPr>
              <w:t xml:space="preserve">Поз. по ИД: 4.1.17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Подогрев оборотного раствора фильтратом от выщелачивания перед каскадом; пусковой подогрев паром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Тепловая мощность 1240 кВт расч.; 50,0 → 59,4 °С по 124,7 м³/ч; 75,0 → 65,6 °С по 129,5 м³/ч</w:t>
            </w:r>
          </w:p>
          <w:p>
            <w:r>
              <w:rPr>
                <w:i/>
                <w:color w:val="555555"/>
                <w:sz w:val="14"/>
              </w:rPr>
              <w:t xml:space="preserve">Пластинчатый секционный; резервная секция на посекционную чистку от гипсовых инкрустаций; обходные линии для тонкого регулирования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или аналог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W = 1500 кВт; коэфф. запаса 1,2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Число закорачивающих рам (по графику чисток и совмещению со сменой анодов)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«основного» оборудования для опросных листов и ТКП — закрепить протоколом с Заказчиком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Конструктив циркуляционных баков (сталь / железобетон с футеровкой по месту) — вариантная проработка БИ с оценкой стоимости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позициям — по бюджетным ТКП (в ИД не заданы); критический путь — ванны и КСМ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Темп поставки ванн под график монтажа рядов (шт./мес) — согласовать с изготовителем и монтажной организацией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7 позициям из 14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13 позициям из 14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pgSz w:w="16838" w:h="11906" w:orient="landscape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