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№4 «Склад готовой продукции»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требование состава Базового инжиниринга «Сведения по электроснабжению и электрооборудованию по Приложению №3 (объём сведений уточняется с учётом согласованных границ проектирования)» (ТЗ на БИ ред. 4.1)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согласуется при разработке БИ; для оценки годового потребления принят круглогодичный фонд 8 760 ч (ТЗ на БИ ред. 4.1).</w:t>
      </w:r>
    </w:p>
    <w:p>
      <w:r>
        <w:rPr>
          <w:color w:val="666666"/>
          <w:sz w:val="17"/>
        </w:rPr>
        <w:t xml:space="preserve">Источник: ТЗ на БИ ред. 4.1 (п. 1.3 — базис размещения, состав БИ по Лоту №4, п. 6.2 — границы); Приложение №3 к ТЗ; Приложение №5 к ТЗ (весоизмерение, электропитание систем автоматизации); расчётная модель КВАНТ (сводная нагрузка комплекса)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решения по компенсации реактивной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и мощности компенсирующих устройств —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расчётная нагрузка склада как исходные данные для подстанции корпуса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трансформаторов подстанции корпуса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обоснование отсутствия взрывоопасных зон при литий-ионных тяговых аккумуляторах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При изменении типа аккумуляторов — классификация зоны зарядной по ПУЭ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(изд. 7)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электроснабжения; электроустановки зарядной (при свинцово-кислотных аккумуляторов)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52.13330 (актуальная редакция)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Освещение зоны автоматической техники и весовых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Р 21.101-2020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Граница состава Базового инжиниринга и рабочей документации: спецификации материалов и кабельные журналы — рабочая документация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склада готовой продукции предусматривается на напряжении 0,4 кВ от комплектной трансформаторной подстанции корпуса склада. Базис размещения по ТЗ на БИ ред. 4.1 (п. 1.3) — новый склад в составе нового строительства; резервный сценарий — размещение в существующем корпусе с питанием от его трансформаторных подстанций, располагаемый резерв мощности которых определяется обследованием.</w:t>
      </w:r>
    </w:p>
    <w:p>
      <w:r>
        <w:rPr>
          <w:sz w:val="20"/>
        </w:rPr>
        <w:t xml:space="preserve">Потребителей напряжением выше 1 кВ склад не имеет. Собственная трансформаторная подстанция в границы Лота №4 не входит; настоящий документ выдаёт для неё исходные данные — расчётную нагрузку склада и категории надёжности электроснабжения.</w:t>
      </w:r>
    </w:p>
    <w:p>
      <w:r>
        <w:rPr>
          <w:sz w:val="20"/>
        </w:rPr>
        <w:t xml:space="preserve">Точка подключения 0,4 кВ фиксируется при выдаче задания на корпус; для нового строительства она определяется техническими условиями и решениями генерального проектировщика по генеральному плану.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радиальная схема распределения на напряжении 0,4 кВ: вводно-распределительное устройство склада с автоматическим вводом резерва для потребителей I категории, от него — фидеры технологических групп (приёмный конвейер, весовое хозяйство, упаковка и маркировка, зарядная станция штабелёров, освещение, электрообогрев весовых приямков).</w:t>
      </w:r>
    </w:p>
    <w:p>
      <w:r>
        <w:rPr>
          <w:sz w:val="20"/>
        </w:rPr>
        <w:t xml:space="preserve">Обоснование: технологические электроприёмники склада маломощны и не имеют приводов единичной мощностью 100 кВт и выше, поэтому распределение выполняется на одном уровне напряжения. Автоматический ввод резерва предусматривается для систем автоматизации, весоизмерения и промышленного телевидения, для которых Приложением №5 к ТЗ установлена I категория надёжности с источниками бесперебойного питания.</w:t>
      </w:r>
    </w:p>
    <w:p>
      <w:r>
        <w:rPr>
          <w:sz w:val="20"/>
        </w:rPr>
        <w:t xml:space="preserve">Источники бесперебойного питания принимаются двойного преобразования с автоматическим байпасом и сетевыми платами с поддержкой SNMP: для систем автоматизации — с временем автономной работы не менее 10 мин, для системы весоизмерения — не менее 20 мин (Приложение №5 к ТЗ).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Питание на напряжении 0,4 кВ от подстанции корпуса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Приводов единичной мощностью 100 кВт и выше в лоте нет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Вводно-распределительное устройство с автоматическим вводом резерва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 для систем автоматизации, весоизмерения и промышленного телевидения (Приложение №5 к ТЗ)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Раздельные фидеры технологических групп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Локализация отказов; независимое обслуживание приёмного тракта, весового хозяйства и зарядной станции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Источники бесперебойного питания с байпасом и мониторингом по SNMP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Приложение №5 к ТЗ: не менее 10 мин для систем автоматизации, не менее 20 мин для весоизмерения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Электрообогрев весовых приямков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Условия площадки: температура наиболее холодной пятидневки минус 34 °С; стабильность показаний весового оборудования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ТЗ на БИ ред. 4.1 (п. 1.3 — базис размещения, состав БИ по Лоту №4, п. 6.2 — границы); Приложение №3 к ТЗ; Приложение №5 к ТЗ (весоизмерение, электропитание систем автоматизации); расчётная модель КВАНТ (сводная нагрузка комплекса)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Ниже приведены мощности электроприёмников лота, определённые исходными данными Заказчика и расчётом; они приняты в качестве основы для расчёта нагрузок.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3000"/>
        <w:gridCol w:w="21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Зарядная станция штабелёров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2–3 поста по 10–20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Приёмный конвейер, весовое хозяйство, упаковка и маркировка, системы автоматизации, весоизмерения и промышленного телевидения, освещение, электрообогрев весовых приямков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Суммарно определяется по предложениям изготовителей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склада (оценка)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Средняя нагрузка склада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≈0,08 МВт; годовое потребление ≈0,7 млн кВт·ч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Расчёт КВАНТ, сводный блок электрических нагрузок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Упаковка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Маркировка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Учёт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приёмки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Складирование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приёмки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4.4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склада (оценка)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склада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≈0,08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Годовое потребление электроэнергии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≈0,7 млн кВт·ч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0,08 МВт × 8 760 ч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Коэффициент использования установленной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0,4–0,8 (ориентировочно)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Согласование средней и установленной мощности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4.5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автоматизации, весоизмерения и промышленного телевидения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ТЗ: источники бесперебойного питания не менее 10 мин для систем автоматизации и не менее 20 мин для весоизмерения, с автоматическим вводом резерва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Приёмный конвейер и весовое хозяйство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останавливает приёмку продукции с выходного конвейера катодосдирочной машины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Зарядная станция, освещение общего назначения, ремонтные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4.6 Пусковые токи и коэффициенты одновременности</w:t>
      </w:r>
    </w:p>
    <w:p>
      <w:r>
        <w:rPr>
          <w:sz w:val="20"/>
        </w:rPr>
        <w:t xml:space="preserve">Приводов единичной мощностью 100 кВт и выше в лоте нет; каталожные пусковые характеристики крупных приводов не приводятся. Пусковые токи и коэффициенты одновременности электроприёмников определяются на детальном этапе по данным изготовителей комплектного оборудования.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Отдельные установки компенсации реактивной мощности предварительно не предусматриваются: нагрузка склада мелкая, доля двигательной нагрузки невелика. Компенсация выполняется на трансформаторной подстанции корпуса, вне границ поставки Лота №4.</w:t>
      </w:r>
    </w:p>
    <w:p>
      <w:r>
        <w:rPr>
          <w:sz w:val="20"/>
        </w:rPr>
        <w:t xml:space="preserve">При подтверждении по предложениям изготовителей значительной доли нелинейной нагрузки (зарядные устройства тяговых аккумуляторов, преобразователи приводов, источники бесперебойного питания) предусматриваются меры по ограничению высших гармоник — устройства с корректором коэффициента мощности либо фильтры на вводе; необходимость определяется расчётом сети на стадии БИ.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склада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использования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0,4–0,8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Согласование средней и установленной мощности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0,85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по данным изготовителей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склада (вклад в нагрузку подстанции корпуса)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60–120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Трансформаторная подстанция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В границы поставки Лота №4 не входит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ТЗ на БИ ред. 4.1, границы Лота №4</w:t>
            </w:r>
          </w:p>
        </w:tc>
      </w:tr>
    </w:tbl>
    <w:p>
      <w:r>
        <w:rPr>
          <w:sz w:val="20"/>
        </w:rPr>
        <w:t xml:space="preserve">Значения приведены как исходные данные для подстанции корпуса склада и для проверки резерва мощности существующих подстанций в резервном сценарии размещения. Коэффициенты приняты ориентировочно и уточняются по спецификации оборудования после получения предложений изготовителей.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дымогазовыделением.</w:t>
      </w:r>
    </w:p>
    <w:p>
      <w:r>
        <w:rPr>
          <w:sz w:val="20"/>
        </w:rPr>
        <w:t xml:space="preserve">— Прокладка по кабельным конструкциям склада и в полу зоны приёмки; в зоне работы автопогрузчиков-штабелёров трассы защищаются от механических повреждений.</w:t>
      </w:r>
    </w:p>
    <w:p>
      <w:r>
        <w:rPr>
          <w:sz w:val="20"/>
        </w:rPr>
        <w:t xml:space="preserve">— Кабели систем автоматизации, весоизмерения и промышленного телевидения прокладываются отдельно от силовых; линии связи выполняются одномодовым оптическим кабелем с разъёмами SC либо витой парой (Приложение №5 к ТЗ).</w:t>
      </w:r>
    </w:p>
    <w:p>
      <w:r>
        <w:rPr>
          <w:sz w:val="20"/>
        </w:rPr>
        <w:t xml:space="preserve">— Кабельные вводы в шкафы — через герметичные сальники снизу; шкафы устанавливаются на цоколе (Приложение №5 к ТЗ).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Ввод на вводно-распределительное устройство склада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нагрузка 50–100 кВт (ориентировочно)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85–170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Два ввода с автоматическим вводом резерва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зарядной станции штабелёров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20–60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до 100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Число постов уточняется по парку техники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Линии технологических групп (приёмный конвейер, весовое хозяйство, упаковка)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группам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Определяется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Линии питания источников бесперебойного питания систем автоматизации и весоизмерения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комплектации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Автоматический ввод резерва до источника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Система заземления сети 0,4 кВ — TN-S; выполняется основная система уравнивания потенциалов с присоединением металлических конструкций склада, стеллажного оборудования и кабельных конструкций.</w:t>
      </w:r>
    </w:p>
    <w:p>
      <w:r>
        <w:rPr>
          <w:sz w:val="20"/>
        </w:rPr>
        <w:t xml:space="preserve">Весовое оборудование, шкафы систем автоматизации и весоизмерения заземляются отдельными проводниками; для тензометрических каналов предусматриваются меры защиты от помех и выравнивание потенциалов между грузоприёмным устройством и фундаментом.</w:t>
      </w:r>
    </w:p>
    <w:p>
      <w:r>
        <w:rPr>
          <w:sz w:val="20"/>
        </w:rPr>
        <w:t xml:space="preserve">Молниезащита корпуса склада относится к разделу генерального проектировщика; в настоящем документе выдаются требования к заземлению оборудования лота и к присоединению его к заземляющему устройству здания.</w:t>
      </w:r>
    </w:p>
    <w:p>
      <w:r>
        <w:rPr>
          <w:sz w:val="20"/>
        </w:rPr>
        <w:t xml:space="preserve">Тип заземлителя определяется по удельному сопротивлению грунтов на основании инженерных изысканий и относится к детальному этапу проектирования.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освещение; нормируемая освещённость складской зоны с автоматической техникой, зон весового хозяйства и операторских — по СП 52.13330.</w:t>
      </w:r>
    </w:p>
    <w:p>
      <w:r>
        <w:rPr>
          <w:sz w:val="20"/>
        </w:rPr>
        <w:t xml:space="preserve">Для зон работы систем машинного зрения, сканеров маркировки и систем позиционирования требуется стабильная освещённость с ограничением коэффициента пульсации; конкретные параметры (уровень, спектр, отсутствие засветок) принимаются по требованиям изготовителей систем позиционирования и уточняются по их предложениям.</w:t>
      </w:r>
    </w:p>
    <w:p>
      <w:r>
        <w:rPr>
          <w:sz w:val="20"/>
        </w:rPr>
        <w:t xml:space="preserve">Аварийное освещение относится к I категории надёжности. Зоны эвакуационного освещения — пути эвакуации, зоны у ворот отгрузки, проезды автопогрузчиков-штабелёров.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технологическим процессом склада не образуются: обращаемый продукт — катодная медь, негорючий материал; категория помещений по пожарной опасности ожидаемо Д, что подтверждается расчётом в составе проектной документации.</w:t>
      </w:r>
    </w:p>
    <w:p>
      <w:r>
        <w:rPr>
          <w:sz w:val="20"/>
        </w:rPr>
        <w:t xml:space="preserve">Зарядная станция штабелёров при применении литий-ионных тяговых аккумуляторов водородовыделения не даёт, класс взрывоопасной зоны не назначается. При замене типа аккумуляторов на свинцово-кислотные для помещения зарядной назначаются взрывоопасная зона и вентиляция по ПУЭ, а электрооборудование зарядной принимается во взрывозащищённом исполнении.</w:t>
      </w:r>
    </w:p>
    <w:p>
      <w:r>
        <w:rPr>
          <w:sz w:val="20"/>
        </w:rPr>
        <w:t xml:space="preserve">Тип тяговых аккумуляторов подтверждается предложениями изготовителей складской техники; решение влияет на объёмно-планировочные решения зарядной, вентиляцию и исполнение электрооборудования.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Вводно-распределительное устройство склада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Два ввода 0,4 кВ с автоматическим вводом резерва; отходящие линии технологических групп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Учёт электроэнергии по требованиям Заказчика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Распределительные щиты технологических групп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Приёмный конвейер, весовое хозяйство, упаковка и маркировка, освещение, электрообогрев весовых приямков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Зарядная станция штабелёров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2–3 поста по 10–20 кВт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2–3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Тип тяговых аккумуляторов подтверждается предложениями изготовителей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системы весоизмерения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20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точкам взвешивания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электрообогрева весовых приямков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С терморегулированием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числу приямков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Условия площадки: температура наиболее холодной пятидневки минус 34 °С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Электрооборудования длительного цикла изготовления в составе лота не выявлено: вводно-распределительное устройство, распределительные щиты, источники бесперебойного питания и зарядные устройства относятся к серийной продукции. Сроки поставки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Вводно-распределительное устройство склада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— Источник бесперебойного питания системы весоизмерения</w:t>
      </w:r>
    </w:p>
    <w:p>
      <w:r>
        <w:rPr>
          <w:sz w:val="20"/>
        </w:rPr>
        <w:t xml:space="preserve">— Зарядная станция штабелёров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0,4 кВ склада; выпускается в составе БИ после утверждения сводной таблицы электроприёмников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ОВЭ75-БИ-Л4-КР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ОВЭ75-БИ-Л4-АСУ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Протокол применимых на БИ пунктов Приложения №3 (объём электротехнического раздела) — подлежит согласованию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тяговых аккумуляторов штабелёров (базово литий-ионные) — подтверждается по техническим предложениям изготовителей: определяет исполнение зарядной и вентиляцию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Технические условия на технологическое присоединение и точка подключения 0,4 кВ — запрашиваются Заказчиком по расчёту нагрузок настоящего документа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Требования к освещённости зон машинного зрения и сканеров — по предложениям изготовителей систем позиционирования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Точная установленная мощность склада — по спецификации оборудования после получения предложений изготовителей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