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Назначение альбома</w:t>
      </w:r>
    </w:p>
    <w:p>
      <w:r>
        <w:rPr>
          <w:sz w:val="20"/>
        </w:rPr>
        <w:t xml:space="preserve">Альбом содержит опросные листы основного технологического оборудования Лота №4 «Склад готовой продукции» и выпускается в составе Базового инжиниринга по пункту состава D-21 технического задания (комплект опросных листов на основное технологическое оборудование). Опросные листы предназначены для запроса технико-коммерческих предложений (ТКП) изготовителей и поставщиков оборудования и служат исходным документом для бюджетной оценки стоимости комплектной поставки лота.</w:t>
      </w:r>
    </w:p>
    <w:p>
      <w:r>
        <w:rPr>
          <w:sz w:val="20"/>
        </w:rPr>
        <w:t xml:space="preserve">Каждый опросный лист содержит: перечень позиций перечня оборудования, закрываемых листом; таблицу технических характеристик с указанием источника каждого значения — исходные данные Заказчика (ИД ч.1/ч.2), техническое задание на БИ (ред. 4.1) и решения Базового инжиниринга; строки закладных решений для последующей цифровизации (признак «Закладная (цифровизация)»); состав ответа поставщика.</w:t>
      </w:r>
    </w:p>
    <w:p>
      <w:r>
        <w:rPr>
          <w:sz w:val="20"/>
        </w:rPr>
        <w:t xml:space="preserve">Значения в графе «Значение» являются исходными требованиями к оборудованию. Поля, выделенные цветом, с записью «уточняется по ТКП» заполняет изготовитель. Значения с пометкой «оценка» или «ориентир» предварительные и подлежат подтверждению изготовителем в составе ТКП.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6154"/>
      </w:tblGrid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Лот №4 «Склад готовой продукции»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Пункт состава БИ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D-21 — опросные листы основного оборудования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Опросных листов в альбоме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2 (ОЛ-ОВЭ75-12, 11)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Нумерация листов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Сквозная по комплексу ОВЭ-75; номер листа сохраняется во всех документах БИ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ТЗ на БИ ред. 4.1 от 25.08.2026 с приложениями; исходные данные Заказчика (части 1 и 2); решения Базового инжиниринга по лоту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Требования лота к опросным листам</w:t>
      </w:r>
    </w:p>
    <w:p>
      <w:r>
        <w:rPr>
          <w:sz w:val="20"/>
        </w:rPr>
        <w:t xml:space="preserve">Требования, общие для всех листов альбома; в скобках — источник требования.</w:t>
      </w:r>
    </w:p>
    <w:p>
      <w:r>
        <w:rPr>
          <w:sz w:val="20"/>
        </w:rPr>
        <w:t xml:space="preserve">— В листы включаются гарантии производительности и точности (по разделу испытаний) и требование подтверждения соответствия ТР ТС 010/2011.</w:t>
      </w:r>
      <w:r>
        <w:rPr>
          <w:color w:val="666666"/>
          <w:sz w:val="17"/>
        </w:rPr>
        <w:t xml:space="preserve"> (решение БИ; ТЗ на БИ ред. 4.1)</w:t>
      </w:r>
    </w:p>
    <w:p>
      <w:r>
        <w:rPr>
          <w:sz w:val="20"/>
        </w:rPr>
        <w:t xml:space="preserve">— Габариты, массы и энергопотребление единиц оборудования на стадии БИ не назначаются: до получения ТКП в графах указывается «по ТКП», итоговая редакция — после сбора бюджетных ТКП не менее чем от 2–3 поставщиков на позицию.</w:t>
      </w:r>
      <w:r>
        <w:rPr>
          <w:color w:val="666666"/>
          <w:sz w:val="17"/>
        </w:rPr>
        <w:t xml:space="preserve"> (ТЗ на БИ ред. 4.1; решение БИ)</w:t>
      </w:r>
    </w:p>
    <w:p>
      <w:r>
        <w:rPr>
          <w:sz w:val="20"/>
        </w:rPr>
        <w:t xml:space="preserve">— Штабелёры: грузоподъёмность 3,2–5 т, литий-ионные аккумуляторные батареи, система позиционирования, терминалы и сканеры; состав — 3 шт. (2 рабочих + 1 резервный), полная масса машины 8–11 т.</w:t>
      </w:r>
      <w:r>
        <w:rPr>
          <w:color w:val="666666"/>
          <w:sz w:val="17"/>
        </w:rPr>
        <w:t xml:space="preserve"> (решение БИ (сводно из разделов Лота №4); расчётная модель КВАНТ)</w:t>
      </w:r>
    </w:p>
    <w:p>
      <w:pPr>
        <w:pStyle w:val="Heading1"/>
      </w:pPr>
      <w:r>
        <w:rPr>
          <w:b/>
          <w:sz w:val="28"/>
        </w:rPr>
        <w:t xml:space="preserve">Порядок заполнения изготовителем</w:t>
      </w:r>
    </w:p>
    <w:p>
      <w:r>
        <w:rPr>
          <w:b/>
          <w:sz w:val="20"/>
        </w:rPr>
        <w:t xml:space="preserve">1. </w:t>
      </w:r>
      <w:r>
        <w:rPr>
          <w:sz w:val="20"/>
        </w:rPr>
        <w:t xml:space="preserve">Проверить исходные требования в графе «Значение» и подтвердить их выполнение. Отступления от требований приводятся явно — в графе «Значение» соответствующей строки либо отдельным перечнем отклонений с обоснованием; ответ без указания отклонений считается подтверждением требований.</w:t>
      </w:r>
    </w:p>
    <w:p>
      <w:r>
        <w:rPr>
          <w:b/>
          <w:sz w:val="20"/>
        </w:rPr>
        <w:t xml:space="preserve">2. </w:t>
      </w:r>
      <w:r>
        <w:rPr>
          <w:sz w:val="20"/>
        </w:rPr>
        <w:t xml:space="preserve">Заполнить поля, выделенные цветом («уточняется по ТКП»), фактическими данными предлагаемого оборудования: тип и типоразмер, характеристики, материалы, массы, габариты, комплектность, сроки.</w:t>
      </w:r>
    </w:p>
    <w:p>
      <w:r>
        <w:rPr>
          <w:b/>
          <w:sz w:val="20"/>
        </w:rPr>
        <w:t xml:space="preserve">3. </w:t>
      </w:r>
      <w:r>
        <w:rPr>
          <w:sz w:val="20"/>
        </w:rPr>
        <w:t xml:space="preserve">По строкам с признаком «Закладная (цифровизация)» подтвердить включение в объём поставки либо указать отступления; закладные решения не изменяют принятую технологию и гарантии по производительности.</w:t>
      </w:r>
    </w:p>
    <w:p>
      <w:r>
        <w:rPr>
          <w:b/>
          <w:sz w:val="20"/>
        </w:rPr>
        <w:t xml:space="preserve">4. </w:t>
      </w:r>
      <w:r>
        <w:rPr>
          <w:sz w:val="20"/>
        </w:rPr>
        <w:t xml:space="preserve">Приложить документы, перечисленные в разделе «Состав ответа поставщика» каждого листа: ТКП с ценой, сроком изготовления и условиями поставки; чертёж общего вида и массогабаритные характеристики; членение на поставочные блоки; подтверждение материального исполнения; объём шеф-монтажа, пусконаладки и ЗИП; референс-лист аналогичных поставок.</w:t>
      </w:r>
    </w:p>
    <w:p>
      <w:r>
        <w:rPr>
          <w:b/>
          <w:sz w:val="20"/>
        </w:rPr>
        <w:t xml:space="preserve">5. </w:t>
      </w:r>
      <w:r>
        <w:rPr>
          <w:sz w:val="20"/>
        </w:rPr>
        <w:t xml:space="preserve">Единицы измерения — СИ. Нумерация, наименования и порядок строк листа изменению не подлежат; дополнительные данные приводятся отдельными строками в конце таблицы характеристик.</w:t>
      </w:r>
    </w:p>
    <w:p>
      <w:r>
        <w:rPr>
          <w:b/>
          <w:sz w:val="20"/>
        </w:rPr>
        <w:t xml:space="preserve">6. </w:t>
      </w:r>
      <w:r>
        <w:rPr>
          <w:sz w:val="20"/>
        </w:rPr>
        <w:t xml:space="preserve">Заполненный лист возвращается вместе с ТКП; лист с незаполненными выделенными полями считается неполным ответом.</w:t>
      </w:r>
    </w:p>
    <w:p>
      <w:pPr>
        <w:pStyle w:val="Heading1"/>
      </w:pPr>
      <w:r>
        <w:rPr>
          <w:b/>
          <w:sz w:val="28"/>
        </w:rPr>
        <w:t xml:space="preserve">Состав альбома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00"/>
        <w:gridCol w:w="3100"/>
        <w:gridCol w:w="1900"/>
        <w:gridCol w:w="1554"/>
        <w:gridCol w:w="1300"/>
      </w:tblGrid>
      <w:tr>
        <w:tc>
          <w:tcPr>
            <w:tcW w:w="1500" w:type="dxa"/>
            <w:shd w:val="clear" w:fill="EFEFEF"/>
          </w:tcPr>
          <w:p>
            <w:r>
              <w:rPr>
                <w:b/>
                <w:sz w:val="18"/>
              </w:rPr>
              <w:t xml:space="preserve">№ ОЛ</w:t>
            </w:r>
          </w:p>
        </w:tc>
        <w:tc>
          <w:tcPr>
            <w:tcW w:w="3100" w:type="dxa"/>
            <w:shd w:val="clear" w:fill="EFEFEF"/>
          </w:tcPr>
          <w:p>
            <w:r>
              <w:rPr>
                <w:b/>
                <w:sz w:val="18"/>
              </w:rPr>
              <w:t xml:space="preserve">Оборудование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Участок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8"/>
              </w:rPr>
              <w:t xml:space="preserve">Кол-во по перечню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8"/>
              </w:rPr>
              <w:t xml:space="preserve">Позиции перечня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ОЛ-ОВЭ75-12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Штабелёр (система автоматического складирования)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Складирование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Комплект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ОЛ-ОВЭ75-11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Кран мостовой специальный (автоматический)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Подъёмно-транспортное (лист Лота №3 «Отделение электроэкстракции»)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2 (по одному на серию/пролёт)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</w:tbl>
    <w:p>
      <w:r>
        <w:rPr>
          <w:i/>
          <w:color w:val="555555"/>
          <w:sz w:val="18"/>
        </w:rPr>
        <w:t xml:space="preserve">Количество и позиции — по перечню основного оборудования лота (ИД ч.1 табл. 24, ИД ч.2 табл. 4.1 и 4.2, ТЗ на БИ ред. 4.1); «—» — позиция без номера в исходных данных.</w:t>
      </w:r>
    </w:p>
    <w:p>
      <w:r>
        <w:rPr>
          <w:sz w:val="19"/>
        </w:rPr>
        <w:t xml:space="preserve">Лист разработан для специальных автоматических кранов отделения электроэкстракции (Лот №3) и включён в альбом Лота №4 как основа листа на мостовой кран железнодорожного фронта с автоматической траверсой (вариант погрузки полувагонов; грузоподъёмность не менее 3,2 т с учётом траверсы, крановый пролёт 22 м; приоритет — использование существующего крана ЦЭМ после модернизации). Параметры крана и траверсы Лота №4 — определяется на стадии БИ.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ОЛ-ОВЭ75-12. Штабелёр (система автоматического складирования)</w:t>
      </w:r>
    </w:p>
    <w:p>
      <w:r>
        <w:rPr>
          <w:i/>
          <w:color w:val="555555"/>
          <w:sz w:val="18"/>
        </w:rPr>
        <w:t xml:space="preserve">Лот №4 «Склад готовой продукции», участок «Складирование»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Согласуется при разработке БИ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 / грузоподъёмность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 (в составе системы складирования)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Приёмка пакетов с выходного конвейера КСМ, размещение по партиям, отгрузка — всё в автоматическом режиме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Алгоритм работы / АСУ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Алгоритм размещения стоп катодов автопогрузчиками-штабелёрами по размеченным линиям с памятью «что и где стоит»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Функции АСУ по ТЗ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Роботы, набор партий, разбраковка, автоматическое взвешивание, отбор на сверловку, алгоритм размещения стоп с памятью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 ред. 4.1, раздел Лота №4 (границы проектирования, требования к АСУ)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Груз — пакет катодов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2500 ± 50 кг; ≈56–64 листа × 38–45 кг (при номинале 280 А/м² — ≈54 листа); 1,0×1,0 м в плане; высота ≈0,42–0,50 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п. 1.3.11; ИД табл. 3.1; расчёт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Темп работы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30 000 пакетов/год; 84 пакета/сут; 3,5 пакета/ч (пик до 7)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 от 75 000 т/год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Ярусность хранения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яруса базово (высота стопы ≈0,9–1,1 м); 3 яруса — по результатам обследования пола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Нагрузка на пол (колесо)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Колесо ≈3,5–4,5 тс — расчёт плиты на сосредоточенную нагрузку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оценка БИ (уточнить по ТКП)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 машины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Штабелёр 8–11 т — заезд своим ходом, ворота ≥3,5 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оценка БИ (раздел «Нагрузки на полы»)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Требование к полу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Просвет ≤4 мм под 2-м рейкой (базово); жёстче — по ТКП системы позиционирования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СП 71.13330; решение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 АКБ, время работы/заряда, зарядная инфраструктура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Система позиционирования (тип, точность)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ровность пола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Класс ровности — по СП 29.13330 и требованиям изготовителя машин; фиксируется в задании на корпус ДО заказа плиты пола; поставщику — подтвердить допуски плоскостности и локальных уклонов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зарядная и проезды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Зарядная литий-ионных батарей на 2–3 поста, питание I категории; проезды 3,5–4,0 м — проверка на манёвр машины с пакетом 1×1 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беспроводная сеть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Сплошное покрытие зоны работы сетью IEEE 802.11 с резервом каналов 30 %; поставщику — подтвердить требования машины к сети (роуминг, задержки)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25; Прил. №5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мониторинг состояния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Выдача значений, а не битовых статусов: токи приводов, температура и заряд АКБ, наработка, счётчики пусков; карта Modbus-регистров — в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1.6 п. 35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прослеживаемость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Подтверждение взятия/постановки пакета сканированием QR-этикетки; передача события со сквозным ключом пакет — адрес склада — партия — вагон в систему склада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1.6 п. 38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ОЛ-ОВЭ75-11. Кран мостовой специальный (автоматический)</w:t>
      </w:r>
    </w:p>
    <w:p>
      <w:r>
        <w:rPr>
          <w:i/>
          <w:color w:val="555555"/>
          <w:sz w:val="18"/>
        </w:rPr>
        <w:t xml:space="preserve">Лот №3 «Отделение электроэкстракции», участок «Подъёмно-транспортное» — лист включён в альбом Лота №4 «Склад готовой продукции»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(по одному на серию/пролёт)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Грузоподъёмность / режим работы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п. 4.2.2; расчёт нагрузок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Нагрузки (груз + траверса)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В, п. 4.1.2; расчёт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 оснастки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Металлические элементы и оснастка — нерж. сталь 316L или аналог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Автоматика / функции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Пролёт корпуса (справочно)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расчёт; ИД п. 4.2.2; прил. 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Разграничение поставки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 5.3; ИД п. 4.2.2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ФНП № 461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Примечание перечня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 / модернизация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Пролёт крана, высота подъёма, скорости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 (требование АСУ — автоматический график выгрузки)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тепловизионный модуль на мосту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Закладная площадка на мосту каждого из двух кранов, питание 24 В/PoE и канал связи (Wi-Fi либо оптика гибкого токоподвода) под тепловизионный модуль в термокожухе IP65 с продувкой; конструкция крана не меняется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резерв под измерительную балку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Конструктивный резерв под навесную измерительную балку: масса, питание, канал связи с тележки, посадочные места — вносится в заказ до выдачи запроса (кран — позиция длительного цикла)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входы «зона занята»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Дублированные дискретные входы «зона занята» от калиток СКУД крановых зон; ограниченный режим либо останов крана в занятой зоне жёсткой релейно-контроллерной логикой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координаты для привязки измерений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Точность и повторяемость штатной системы позиционирования моста и тележки — как источника координат привязки термограмм и сканов к номеру ванны и паре электродов (84 пары)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15; разд. 2 п. 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реперные точки в КД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крана и подкрановых путей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инспекция рядов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состав обзорных камер и датчиков инспекции рядов между заданиями (переливы, состояние укрытий, тепло-/видеообзор) — по ТКП изготовителя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значения которых определяются по технико-коммерческим предложениям изготовителей либо на последующих этапах стадии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ОЛ-ОВЭ75-12 (Штабелёр (система автоматического складирования)) — Тип АКБ, время работы/заряда, зарядная инфраструктура; Система позиционирования (тип, точность):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ОЛ-ОВЭ75-11 (Кран мостовой специальный (автоматический)) — Пролёт крана, высота подъёма, скорости; Точность позиционирования; Закладная (цифровизация): инспекция рядов: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Комплект опросных листов Лота №4 по базе решений — 8 комплектов: весовое оборудование (четыре типа точек взвешивания), штабелёры с системой позиционирования, кран с автоматической траверсой, конвейер приёмки, сверловочный стенд проб, упаковочно-маркировочное оборудование, комплекс технических средств АСУ/АИС (серверы, ПЛК, сеть, ИБП), зарядная станция. В настоящую ревизию включён лист на штабелёры; листы на весовое оборудование, кран с автоматической траверсой ж/д фронта, конвейер приёмки, сверловочный стенд, упаковочно-маркировочное оборудование, КТС АСУ/АИС и зарядную станцию — определяется на стадии БИ (следующая ревизия альбома).</w:t>
      </w:r>
    </w:p>
    <w:p>
      <w:r>
        <w:rPr>
          <w:color w:val="666666"/>
          <w:sz w:val="17"/>
        </w:rPr>
        <w:t xml:space="preserve">Источник: ТЗ на БИ ред. 4.1; решение БИ (спецификация и опросные листы Лота №4)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Отдельный опросный лист на мостовой кран железнодорожного фронта с автоматической траверсой (грузоподъёмность не менее 3,2 т с учётом траверсы, крановый пролёт 22 м) — определяется на стадии БИ; в настоящей ревизии за основу принят лист ОЛ-ОВЭ75-11 специальных кранов Лота №3.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«основного оборудования» для опросных листов и бюджетных ТКП (граница объёма БИ) — протокол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Вариант железнодорожной погрузки (полувагоны — мостовым краном с автоматической траверсой, крытые вагоны — штабелёрами с рампы) определяется родом подвижного состава по заданию сбыта; в БИ прорабатываются оба варианта.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изготовителей и поставщиков для рассылки листов, сроки ответа и порядок сравнения ТКП — по реестру запросов бюджетных ТКП (документ ОВЭ75-БИ-ОБ-ТКП).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листов — после согласования с Заказчиком перечня основного оборудования лота и получения замечаний к настоящей ревизии.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