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ОВЭ75-RFQ-21</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Весовое оборудование коммерческого учёта.</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Класс точности «высокий»; открытые программные компоненты для автоматической передачи данных; комплект калибровочных грузов и ЗИП на 2 года.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OVE75-RFQ-21</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Certified weighing equipment for commercial metering.</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ОВЭ75-RFQ-21 / To RFQ No. OVE75-RFQ-21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Весовое оборудование коммерческого учёта</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Класс точности «высокий»; открытые программные компоненты для автоматической передачи данных; комплект калибровочных грузов и ЗИП на 2 года</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Наличие в Госреестре СИ РФ и поставка с первичной поверкой — обязательно</w:t>
            </w:r>
          </w:p>
        </w:tc>
      </w:tr>
    </w:tbl>
    <w:p>
      <w:r>
        <w:rPr>
          <w:b/>
          <w:sz w:val="20"/>
        </w:rPr>
        <w:t xml:space="preserve">Состав позиции по перечню оборудования — Equipment covered by this request:</w:t>
      </w:r>
    </w:p>
    <w:p>
      <w:r>
        <w:rPr>
          <w:b/>
          <w:sz w:val="21"/>
        </w:rPr>
        <w:t xml:space="preserve">1. Оборудование коммерческого учёта и формирования партий</w:t>
      </w:r>
      <w:r>
        <w:rPr>
          <w:color w:val="888888"/>
          <w:sz w:val="16"/>
        </w:rPr>
        <w:t xml:space="preserve">   Учёт</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Взвешивание, учёт, формирование отгрузочных партий с оформлением стандартизированной сопроводительной документации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Класс точности весового оборудования — «высокий» (Прил. №5); поставка с калибровочными грузами и ЗИП на 2 года</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