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ОЛ-ОВЭ75-05</w:t>
      </w:r>
    </w:p>
    <w:p>
      <w:r>
        <w:rPr>
          <w:b/>
          <w:sz w:val="28"/>
        </w:rPr>
        <w:t xml:space="preserve">Дымосос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два канала на опору — горизонтальное и вертикальное направления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ЧРП — обязательное решение вместо направляющего аппарата (нормировано 400 кВт при потребных 150–250 кВт; экономия 0,7–1,2 ГВт·ч/год); регулирование по разрежению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токовая диагностика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измерительные трансформаторы тока фидера 6 кВ под токосигнатурный анализ двигателя 400 кВт — требование в задание на КРУ 6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значений (не битовых статусов) вибрации, температур подшипников, наработки, счётчиков пусков и токов по Modbus TCP; карта 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