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ОЛ-ОВЭ75-12</w:t>
      </w:r>
    </w:p>
    <w:p>
      <w:r>
        <w:rPr>
          <w:b/>
          <w:sz w:val="28"/>
        </w:rPr>
        <w:t xml:space="preserve">Штабелёр (система автоматического складирования)</w:t>
      </w:r>
    </w:p>
    <w:p>
      <w:r>
        <w:rPr>
          <w:color w:val="666666"/>
          <w:sz w:val="18"/>
        </w:rPr>
        <w:t xml:space="preserve">Лот №4 · Склад готовой продукции · участок: Складирование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Согласуется при разработке БИ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грузоподъёмность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(в составе системы складирования)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Алгоритм работы / АСУ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(пред. ред.) п. 6.4 (в v4.1 — п. 7.x, сверить по перечню границ Лота №4 v4.1)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Груз — пакет катодов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п. 1.3.11; ИД табл. 3.1; 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 работы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от 75 000 т/год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на пол (колесо)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(уточнить по ТКП)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машины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(раздел «Нагрузки на полы»)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полу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СП 71.13330; решение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АКБ, время работы/заряда, зарядная инфраструктура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позиционирования (тип, точность)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ровность пола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Класс ровности — по СП 29.13330 и требованиям изготовителя машин; фиксируется в задании на корпус ДО заказа плиты пола; поставщику — подтвердить допуски плоскостности и локальных уклонов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зарядная и проезды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Зарядная литий-ионных батарей на 2–3 поста, питание I категории; проезды 3,5–4,0 м — проверка на манёвр машины с пакетом 1×1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беспроводная сеть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Сплошное покрытие зоны работы сетью IEEE 802.11 с резервом каналов 30 %; поставщику — подтвердить требования машины к сети (роуминг, задержки)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25; Прил. №5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мониторинг состояния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Выдача значений, а не битовых статусов: токи приводов, температура и заряд АКБ, наработка, счётчики пусков; карта Modbus-регистров — в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прослеживаемость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Подтверждение взятия/постановки пакета сканированием QR-этикетки; передача события со сквозным ключом пакет — адрес склада — партия — вагон в систему склада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38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№4 · Склад готовой продукции.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