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ОЛ-ОВЭ75-09</w:t>
      </w:r>
    </w:p>
    <w:p>
      <w:r>
        <w:rPr>
          <w:b/>
          <w:sz w:val="28"/>
        </w:rPr>
        <w:t xml:space="preserve">Центрифуга фильтрующая (пульсирующая)</w:t>
      </w:r>
    </w:p>
    <w:p>
      <w:r>
        <w:rPr>
          <w:color w:val="666666"/>
          <w:sz w:val="18"/>
        </w:rPr>
        <w:t xml:space="preserve">Лот №2 · Участок купоросов · участок: Кристаллизация медного купороса · сформирован 02.09.2026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исходных данных и технического задания Заказчика и решений Базового инжиниринга; поля с пометкой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4.1.6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Пульсирующая (фильтрующая) центрифуга · Фильтрующая центрифуга с пульсирующей выгрузкой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4.1.28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Пульсирующая (фильтрующая) центрифуга · Фильтрующая центрифуга с пульсирующей выгрузкой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345 дней/год, 8322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Тип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Фильтрующая центрифуга с пульсирующей выгрузкой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4.1; ТЗ п.4.4; поз. 4.1.6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 / производительность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× 2,5 т/ч + 2 × 1,5 т/ч, пульсирующие, 1800 об/мин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4.1, рис. 4.4/4.5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 (I стадия)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Обезвоживание кристаллов медного купороса, I стадия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4.1; ТЗ п.4.4; поз. 4.1.6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 (II стадия)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Обезвоживание и промывка кристаллов смешанного купороса, II стадия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4.1; ТЗ п.4.4; поз. 4.1.28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Сталь 904L или аналог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4.1; ТЗ п.4.4; поз. 4.1.6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Влажность и крупность осадка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не более 2,0 мм; влажность после центрифуг 4–6 %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3.1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Промывка (смешанный купорос)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0,15 м³ исходного фильтрата на 1 т кристаллов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3.1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Выпуск медного купороса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14 139 т/год ≈ 1,70 т/ч (влажность 4–6 % — сверх сухой массы)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 БИ; ИД табл. 3.1 (1,6–1,8 т/ч)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Выпуск смешанного купороса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6658 т/год (0,80 т/ч; диапазон 6,24–7,07 тыс. т/год)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3.1; расчёт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4.1; ТЗ п.4.4; поз. 4.1.6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Привод, масса, вибронагрузки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 (задание на фундаменты)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Электроисполнение и локальная аспирация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мониторинг состояния привода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Для привода свыше 30 кВт — раздел «мониторинг состояния»: вибрация, температура подшипников, ток привода как значения (не биты), обмен Modbus TCP; карта Modbus-регистров — в составе документации поставщика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2 пп. 7, 14; разд. 1.3 п. 23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пробоотбор кека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Штуцер отбора проб осадка на выгрузке с площадкой обслуживания — под будущий поточный влагомер; влажность и масса кека — в опросный лист весоизмерения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2 п. 10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сигналы в секундный архив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Все технологические параметры машины — в перечень сигналов АСУ (резерв каналов ≥30 %); архив хранилища технологических данных с шагом 1 с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1.3 п. 21; разд. 2 п. 7</w:t>
            </w:r>
          </w:p>
        </w:tc>
      </w:tr>
    </w:tbl>
    <w:p>
      <w:r>
        <w:rPr>
          <w:color w:val="8A6200"/>
          <w:sz w:val="17"/>
        </w:rPr>
        <w:t xml:space="preserve">Заливкой отмечены поля «уточняется по ТКП» — их заполняет поставщик; остальные значения — исходные требования Заказчика (исходные данные, техническое задание)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 «уточняется по ТКП»)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перечень оборудования по исходным данным и техническому заданию Заказчика; инженерные решения Базового инжиниринга по Лот №2 · Участок купоросов.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