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888888"/>
          <w:sz w:val="18"/>
        </w:rPr>
        <w:t xml:space="preserve">ЧЕРНОВИК для внутреннего согласования · заполнить плейсхолдеры перед подачей · ЭТУ СТРОКУ УДАЛИТЬ</w:t>
      </w:r>
    </w:p>
    <w:p>
      <w:pPr>
        <w:keepNext/>
        <w:spacing w:after="40"/>
        <w:jc w:val="left"/>
      </w:pPr>
      <w:r>
        <w:rPr>
          <w:b/>
          <w:color w:val="1F3864"/>
          <w:sz w:val="28"/>
        </w:rPr>
        <w:t xml:space="preserve">ООО «КВАНТ»</w:t>
      </w:r>
    </w:p>
    <w:p>
      <w:pPr>
        <w:pBdr>
          <w:bottom w:val="single" w:sz="12" w:space="4" w:color="1F3864"/>
        </w:pBdr>
        <w:spacing w:after="320"/>
        <w:jc w:val="left"/>
      </w:pPr>
      <w:r>
        <w:rPr>
          <w:color w:val="595959"/>
          <w:sz w:val="16"/>
        </w:rPr>
        <w:t xml:space="preserve">[ИНН/КПП/ОГРН, юридический адрес, телефон, e-mail — реквизиты компании]</w:t>
      </w:r>
    </w:p>
    <w:p>
      <w:pPr>
        <w:pStyle w:val="Heading1"/>
      </w:pPr>
      <w:r>
        <w:t xml:space="preserve">Техническое предложение. Базовый инжиниринг ОВЭ-75</w:t>
      </w:r>
    </w:p>
    <w:p>
      <w:pPr>
        <w:spacing w:after="240"/>
        <w:jc w:val="center"/>
      </w:pPr>
      <w:r>
        <w:rPr>
          <w:color w:val="595959"/>
          <w:sz w:val="20"/>
        </w:rPr>
        <w:t xml:space="preserve">АО «Кольская ГМК» · комплекс 75 000 т катодной меди в год · Лоты №1–№4 · 27.08.2026</w:t>
      </w:r>
    </w:p>
    <w:p>
      <w:pPr>
        <w:pStyle w:val="Heading2"/>
      </w:pPr>
      <w:r>
        <w:t xml:space="preserve">1. Понимание задачи</w:t>
      </w:r>
    </w:p>
    <w:p>
      <w:r>
        <w:rPr>
          <w:sz w:val="22"/>
        </w:rPr>
        <w:t xml:space="preserve">Четыре лота Базового инжиниринга: Цех обжига (фильтрация концентрата, печь КС, газоочистка, тракт огарка и пыли), Участок получения медного и медно-никелевого купороса, Отделение электроэкстракции меди (180 ванн), Склад готовой продукции. Базис — новое строительство на свободной территории промплощадки (ТЗ v4.1, п.1.3). Состав и глубина результатов — по ТЗ v4.1: уровень FEED (предварительные P&amp;ID, line list ±20–30 %, предварительные нагрузки, бюджетные ТКП, ЦИМ стадии БИ).</w:t>
      </w:r>
    </w:p>
    <w:p>
      <w:pPr>
        <w:pStyle w:val="Heading2"/>
      </w:pPr>
      <w:r>
        <w:t xml:space="preserve">2. Задел, с которым мы выходим на работу</w:t>
      </w:r>
    </w:p>
    <w:p>
      <w:r>
        <w:rPr>
          <w:sz w:val="22"/>
        </w:rPr>
        <w:t xml:space="preserve">К моменту подачи выполнены: построчный разбор ИД ч.1/ч.2; независимая расчётная модель (21 расчётный блок, 40 сверок с ИД: материальные и тепловые балансы всех переделов, электрохимия серии 180 ванн, гидродинамика кипящего слоя, точка росы газового тракта, статистический анализ устойчивости); компоновочная проработка нового корпуса электроэкстракции; черновики пояснительных записок по всем четырём лотам; реестр из более чем 100 уточняющих вопросов к пакету исходных данных (подготовлен; передаётся Заказчику с настоящим предложением); план сорсинга — 114 верифицированных изготовителей по 27 закупочным позициям с контактами для запуска ТКП-кампании в день старта.</w:t>
      </w:r>
    </w:p>
    <w:p>
      <w:pPr>
        <w:pStyle w:val="Heading2"/>
      </w:pPr>
      <w:r>
        <w:t xml:space="preserve">3. Организация работ и партнёрства</w:t>
      </w:r>
    </w:p>
    <w:p>
      <w:r>
        <w:rPr>
          <w:sz w:val="22"/>
        </w:rPr>
        <w:t xml:space="preserve">Исполнитель — ООО «КВАНТ»: управление проектом, собственная расчётная база по проекту (независимая модель: 21 расчётный блок, 40 сверок с исходными данными), компоновочные решения, выпуск документации на русском языке по нормам РФ, сорсинг и ТКП-кампания, интерфейс с Заказчиком. Привлечённый партнёр с действующим опытом медной металлургии (пирометаллургия, гидрометаллургия, электроэкстракция) выполняет независимую верификацию технологических решений и предоставляет данные референсного оборудования; готовность партнёра к участию на всём жизненном цикле проекта подтверждена письмом-обязательством, предоставляемым по запросу организатора вместе со сведениями и референсами. Обязуемся представить организатору сведения о привлечённом партнёре, его референсы и письмо-обязательство об участии в проекте в течение 3 (трёх) рабочих дней с даты запроса. Дополнительно — изготовители оборудования электролиза с подтверждёнными референсами. Ключевой персонал: ГИП — [Ф.И.О., опыт]; технологи пиро/гидро — [Ф.И.О.]; электрохимия — [Ф.И.О.]; КИПиА/АСУ — [Ф.И.О.].</w:t>
      </w:r>
    </w:p>
    <w:p>
      <w:pPr>
        <w:pStyle w:val="Heading2"/>
      </w:pPr>
      <w:r>
        <w:t xml:space="preserve">4. Этапность и сроки</w:t>
      </w:r>
    </w:p>
    <w:p>
      <w:r>
        <w:rPr>
          <w:sz w:val="22"/>
        </w:rPr>
        <w:t xml:space="preserve">Предлагаем зафиксировать следующую этапность. Этап 1 — 3 месяца с начала работ: предварительный отчёт БИ (пояснительные записки, PFD, компоновочные решения, спецификации оборудования, опросные листы, исходные требования на длинноцикловое оборудование). Этап 2 — ещё 3 месяца после завершения Этапа 1: итоговый отчёт (предварительные P&amp;ID, нагрузки, электрочасть, line list, критичные КИПиА, схема КТС АСУ, тепловыделения/вредности, стоимостной блок). Отчёты БИ по Лотам №1–№4 выпускаются в срок не более 6 месяцев. Материалы ЦИМ выпускаются отдельным этапом (по ТЗ на ЦИМ ред.2): ЦИМ ведётся параллельно с первого месяца с выгрузкой IFC каждые 4 недели, итоговая передача — одновременно с итоговым отчётом. Перенос несметных разделов за 6-месячный контур — только по решению Заказчика. Приоритет — разделы для расчёта смет и бюджетирования оборудования.</w:t>
      </w:r>
    </w:p>
    <w:p>
      <w:r>
        <w:rPr>
          <w:sz w:val="22"/>
        </w:rPr>
        <w:t xml:space="preserve">Укрупнённый календарный план работ по этапам с ресурсной оценкой прилагается к настоящему техническому предложению ([одностраничный план — готовит ГИП/владелец до подачи]).</w:t>
      </w:r>
    </w:p>
    <w:p>
      <w:pPr>
        <w:pStyle w:val="Heading2"/>
      </w:pPr>
      <w:r>
        <w:t xml:space="preserve">5. Состав результатов</w:t>
      </w:r>
    </w:p>
    <w:p>
      <w:r>
        <w:rPr>
          <w:sz w:val="22"/>
        </w:rPr>
        <w:t xml:space="preserve">По каждому лоту — отчёт БИ в составе требований ТЗ v4.1: пояснительная записка (общие сведения, сырьё и продукция, техпроцесс по операциям, балансы, расходы ресурсов, перечень оборудования, подключения к сетям), графическая часть (PFD, предварительные P&amp;ID, компоновки с привязкой к осям, планы предварительных нагрузок и фундаментов, требования к монтажу, спецификации и опросные листы, однолинейные схемы и предварительный перечень электрооборудования, line list ±20–30 %, схема КТС АСУ), стоимость поставки (бюджетные ТКП по основному оборудованию, бюджетная оценка комплектной поставки), ЦИМ стадии БИ по Прил.1 LOD/LOI с выгрузкой IFC раз в 4 недели.</w:t>
      </w:r>
    </w:p>
    <w:p>
      <w:r>
        <w:rPr>
          <w:sz w:val="22"/>
        </w:rPr>
        <w:t xml:space="preserve">Соответствие ТЗ. Предлагаемые решения соответствуют требованиям ТЗ v4.1 в полном объёме, без отступлений; постатейная таблица соответствия требованиям ТЗ v4.1 прилагается к настоящему техническому предложению ([таблицу собирает команда до подачи — каркас: раздел «Состав результатов» и черновики ПЗ по лотам]).</w:t>
      </w:r>
    </w:p>
    <w:p>
      <w:pPr>
        <w:pStyle w:val="Heading2"/>
      </w:pPr>
      <w:r>
        <w:t xml:space="preserve">6. Качество и гарантии</w:t>
      </w:r>
    </w:p>
    <w:p>
      <w:r>
        <w:rPr>
          <w:sz w:val="22"/>
        </w:rPr>
        <w:t xml:space="preserve">Выпуск по нормам РФ с нормоконтролем; независимая проверка всех ключевых гарантийных показателей — расчётом либо промышленными референсами; предложение по гарантийной рамке (гарантии удельных и качественных показателей при заданном питании; производительность — при обеспеченном сырьевом балансе) готовы представить на технической защите предложения вместе с расчётной запиской. Срок Этапа 1 исчисляется с даты начала работ по договору; предложение исходит из допущения, что «вариант размещения» (генплан) передаётся Заказчиком к дате начала работ — этот материал учтён в графике с первого дня. ТУ на подключение запрашиваются в первые 4 недели Этапа 1 и на срок начала работ не влияют.</w:t>
      </w:r>
    </w:p>
    <w:p>
      <w:pPr>
        <w:pStyle w:val="Heading2"/>
      </w:pPr>
      <w:r>
        <w:t xml:space="preserve">7. Взаимодействие с Заказчиком</w:t>
      </w:r>
    </w:p>
    <w:p>
      <w:r>
        <w:rPr>
          <w:sz w:val="22"/>
        </w:rPr>
        <w:t xml:space="preserve">Назначенный руководитель проекта — единая точка ответственности со стороны Исполнителя; еженедельные статус-совещания; ежемесячный отчёт о ходе работ; выгрузка ЦИМ в формате IFC раз в 4 недели; единый реестр вопросов и ответов по проекту.</w:t>
      </w:r>
    </w:p>
    <w:p>
      <w:pPr>
        <w:keepNext/>
        <w:tabs>
          <w:tab w:val="right" w:pos="10206"/>
        </w:tabs>
        <w:spacing w:before="600" w:after="80"/>
        <w:jc w:val="left"/>
      </w:pPr>
      <w:r>
        <w:rPr>
          <w:sz w:val="22"/>
        </w:rPr>
        <w:t xml:space="preserve">[должность подписанта]</w:t>
      </w:r>
      <w:r>
        <w:tab/>
      </w:r>
      <w:r>
        <w:rPr>
          <w:sz w:val="22"/>
        </w:rPr>
        <w:t xml:space="preserve">___________________ / </w:t>
      </w:r>
      <w:r>
        <w:rPr>
          <w:sz w:val="22"/>
        </w:rPr>
        <w:t xml:space="preserve">[Ф.И.О.]</w:t>
      </w:r>
      <w:r>
        <w:rPr>
          <w:sz w:val="22"/>
        </w:rPr>
        <w:t xml:space="preserve"> /</w:t>
      </w:r>
    </w:p>
    <w:p>
      <w:pPr>
        <w:spacing w:before="120"/>
      </w:pPr>
      <w:r>
        <w:rPr>
          <w:color w:val="595959"/>
          <w:sz w:val="20"/>
        </w:rPr>
        <w:t xml:space="preserve">М.П.</w:t>
      </w:r>
    </w:p>
    <w:sectPr>
      <w:headerReference w:type="default" r:id="rIdHdr"/>
      <w:footerReference w:type="default" r:id="rIdFtr"/>
      <w:pgSz w:w="11906" w:h="16838"/>
      <w:pgMar w:top="1134" w:right="850" w:bottom="1134" w:left="850" w:header="709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spacing w:after="0" w:line="240" w:lineRule="auto"/>
      <w:jc w:val="center"/>
    </w:pPr>
    <w:r>
      <w:rPr>
        <w:color w:val="595959"/>
        <w:sz w:val="16"/>
      </w:rPr>
      <w:t>ООО «КВАНТ» · конкурсная процедура БИ КГМК.ОВЭ-75</w:t>
    </w:r>
  </w:p>
</w:ftr>
</file>

<file path=word/header1.xml><?xml version="1.0" encoding="utf-8"?>
<w:hdr xmlns:w="http://schemas.openxmlformats.org/wordprocessingml/2006/main">
  <w:p>
    <w:pPr>
      <w:spacing w:after="0" w:line="240" w:lineRule="auto"/>
      <w:jc w:val="right"/>
    </w:pPr>
    <w:r>
      <w:rPr>
        <w:color w:val="595959"/>
        <w:sz w:val="18"/>
      </w:rPr>
      <w:t xml:space="preserve">стр. </w:t>
    </w:r>
    <w:fldSimple w:instr=" PAGE ">
      <w:r>
        <w:rPr>
          <w:color w:val="595959"/>
          <w:sz w:val="18"/>
        </w:rPr>
        <w:t>1</w:t>
      </w:r>
    </w:fldSimple>
    <w:r>
      <w:rPr>
        <w:color w:val="595959"/>
        <w:sz w:val="18"/>
      </w:rPr>
      <w:t xml:space="preserve"> из </w:t>
    </w:r>
    <w:fldSimple w:instr=" NUMPAGES ">
      <w:r>
        <w:rPr>
          <w:color w:val="595959"/>
          <w:sz w:val="18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20" w:after="160"/>
      <w:jc w:val="center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320" w:after="120"/>
      <w:jc w:val="left"/>
      <w:outlineLvl w:val="1"/>
    </w:pPr>
    <w:rPr>
      <w:b/>
      <w:color w:val="1F386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tehpredlozhenie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