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№3 · Отделение электроэкстракции меди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сведения, продукция и режим работы</w:t>
      </w:r>
    </w:p>
    <w:p>
      <w:r>
        <w:rPr>
          <w:sz w:val="20"/>
        </w:rPr>
        <w:t xml:space="preserve">Отделение электроэкстракции меди — завершающий передел комплекса КГМК.ОВЭ-75 («обжиг – выщелачивание – электроэкстракция», 75 000 т катодной меди в год). Базис размещения — новое строительство на свободной территории промплощадки АО «Кольская ГМК», г. Мончегорск (ТЗ v4.1 п.1.3): новый корпус 36 × 190 м смежно с участками комплекса; приспособление существующего корпуса электрорафинирования меди металлургического цеха (ЦЭМ) сохранено в материалах как резервный сценарий по решению Заказчика. Продукция — медь катодная марки М00к по ГОСТ 859-2014 в виде целых катодных листов (выпуск также по требованиям BS EN 1978:1998 / ЛБМ, требование ИД ч.2 п. 1.2.1); SEN 420–450 мм. Второй продукт — оборотный раствор («бедный» электролит) состава 35 Cu / 20 Ni / 1,6 Co / 2,6 Fe / 120 H2SO4 кг/м³: большая часть отсечки (1038 тыс. м³/год; 124,7 м³/ч) направляется на выщелачивание огарка, меньшая (27,3 тыс. м³/год; 3,2–3,5 м³/ч) — на растворение кристаллов медного купороса (ТЗ п. 5.1); остальной поток бедного электролита возвращается в циркуляционный бак на усреднение с богатым фильтратом. Питание отделения — фильтрат контрольной фильтрации (богатый раствор) через фланец трубопровода от ёмкости поз. 4.1.19 (граница 5.2.1).</w:t>
      </w:r>
    </w:p>
    <w:p>
      <w:r>
        <w:rPr>
          <w:sz w:val="20"/>
        </w:rPr>
        <w:t xml:space="preserve">Режим работы: круглосуточный, 358 дней в году, 8584,8 ч (КИО ванн 98 %); прочее оборудование гидрометаллургии — 8322 ч (КИО 95 %). Расчётная часовая производительность по катодной меди 8066,1 кг/ч, что за 8584,8 ч даёт 8066,1 × 8584,8 / 1000 ≈ 69 250 т/год — расчётная загрузка по сценарным условиям ИД (перспективная средняя загрузка КГМК 2029–2039 гг.). Номинальная мощность 75 000 т/год обеспечивается запасом оборудования: при работе всех 180 ванн на номинальной плотности тока 280 А/м² выпуск составит 49,63 × 180 × 8584,8 / 1000 ≈ 76 700 т/год (см. раздел электрического расчёта).</w:t>
      </w:r>
    </w:p>
    <w:p>
      <w:r>
        <w:rPr>
          <w:sz w:val="20"/>
        </w:rPr>
        <w:t xml:space="preserve">Состав основного оборудования в границах БИ (ТЗ п. 5.3): циркуляционные баки, аноды, катодные матрицы, электролизные ванны, аспирационные укрытия ванн, роботизированная катодосдирочная машина (КСМ), оборудование формирования пакетов и автоматической изоляции кромок матриц, специальные автоматические краны с системой позиционирования, ошиновка ванн, автоматизированная транспортировка пакетов на СГП, АСУ с прикладным ПО. Помещение электролизного зала: категория В2 по взрывопожарной опасности (СП 12.13130), среда химически активная (аэрозоли H2SO4, Cu, Ni), климатическое исполнение оборудования УХЛ3 по ГОСТ 15150-69, температура в помещении +12…+24 °С, относительная влажность &gt; 75 % (ИД ч.2, прил. 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Продукция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Медь катодная М00к по ГОСТ 859-2014 (BS EN 1978:1998), SEN 420–450 мм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1.2,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Ожидаемые примеси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0,0006; Fe 0,0002; Ni 0,0003; Ag 0,0005; Pb 0,00004 % — с запасом внутри норм М00к (сумма ≤ 0,0065 %)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358 сут/год, 8584,8 ч, КИО ванн 98 %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8066,1 кг/ч; ≈69,25 тыс. т/год расчётная; 75 тыс. т/год номинал с запасом до ≈76,7 тыс. т/год при 280 А/м²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Оборотный раствор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 Cu / 20 Ni / 1,6 Co / 2,6 Fe / 120 H2SO4 кг/м³; Cl⁻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катодной меди М00к, нормы по примесям; ГОСТ 15150-69 — Климатическое исполнение УХЛ3 оборудования; СП 12.13130.2009 — Категория помещения В2 по взрывопожарной опасности (по ИД/Дельта)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катодной меди уточняется на стадии освоения производства (ИД ч.2 п. 1.2.1)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Сведение баланса 69,25 тыс. т/год (расчёт ИД) и 75 тыс. т/год (номинал проекта) закрепить в БИ протоколом с Заказчиком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1) ЦИРКУЛЯЦИЯ И КОНДИЦИОНИРОВАНИЕ ЭЛЕКТРОЛИТА. Каждая серия (90 ванн) имеет раздельную циркуляцию: циркуляционный бак питания поз. 4.2.1 (300 м³, с перегородкой) → циркуляционные насосы (вне БИ) → пластинчатый холодильник поз. 4.2.2 → напорный коллектор → индивидуальные подводы в ванны → самотёчный перелив «бедного» электролита обратно в бак. В пространство бака перед перегородкой поступает бедный электролит из ванн; из него же отбирается поток на выщелачивание (124,7 м³/ч в приёмный бак поз. 4.1.8 ГМУ) и на растворение медного купороса (3,2–3,5 м³/ч). В зону смешения за перегородкой подаются: богатый фильтрат контрольной фильтрации (124–125 м³/ч, ≈102,9 кг/м³ Cu), растворы коллоидной добавки гуартек, антиаэрозольная добавка FC-1100, серная кислота, растворы промывки катодов от КСМ, растворы системы аспирации, зумпфовые воды и подпиточная вода по балансу. Раствор питания ванн отбирается из зоны за перегородкой: состав после усреднения 40 Cu / 20 Ni / 2,6 Fe / 1,3 Co / 112 H2SO4 кг/м³, температура 50 °С. Кондиционирование: поддержание Cu 35–40 кг/м³, H2SO4 113–120 кг/м³, Cl⁻ 25–30 г/м³ (дозирование HCl 33 % или раствора NaCl), температуры 50 °С, концентраций добавок (гуартек 0,25 кг/т, FC-1100 0,20 кг/т Cu). Предельные примеси: Ni ≤ 20 г/л (лидирующая), Fe ≤ 3 г/л — баланс держится отсечкой части фильтрата на купоросы (вне Лота №3).</w:t>
      </w:r>
    </w:p>
    <w:p>
      <w:r>
        <w:rPr>
          <w:sz w:val="20"/>
        </w:rPr>
        <w:t xml:space="preserve">2) ЭЛЕКТРОЭКСТРАКЦИЯ. Электролиз в ящичных полимербетонных ваннах (Unicell или аналог, конструкция по проекту ДЕЛЬТА) с нерастворимыми анодами: в ванне 84 катодные матрицы (нерж. 316L, рабочее полотно 1000×1000×3,25 мм, две стороны — 2,0 м²) и 85 анодов (холоднокатаный Pb–Ca(0,06–0,08 %)–Sn(1,35–1,5 %), рабочая часть 940×952×6 мм), шаг электродов 95 мм. На катоде разряжается Cu²⁺, на аноде выделяется кислород и регенерируется H2SO4. Съём меди из электролита 5,0 кг/м³ (40 → 35 кг/м³ при удельном расходе ≈9,1 м³/ч на ванну; полный обмен объёма ванны ≈1,4 ч). Цикл наращивания катодного осадка 6–7 сут (масса катода-«книжки» 76,8–89,7 кг без матрицы); за цикл из ванны трижды выгружается по 1/3 матриц (28 шт.) с равномерным шагом — «шахматный» график, не прерывающий ток серии. Срок анодной кампании 5–7 лет, матриц — 6 лет.</w:t>
      </w:r>
    </w:p>
    <w:p>
      <w:r>
        <w:rPr>
          <w:sz w:val="20"/>
        </w:rPr>
        <w:t xml:space="preserve">3) АСПИРАЦИЯ ВАНН. Каждая ванна укрыта легкосъёмным колпаком, интегрированным с бортовым (торцевым) отсосом; отсосы объединяются в общий газоход (система аспирации и скруббер — вне БИ, граница — фланец отсоса каждого укрытия, п. 5.2.4). Интенсивность отсоса должна исключать достижение точки росы под колпаком; коллекторы — с периодической автоматической промывкой водой от накопления сухих солей, слив промывных растворов — в циркуляцию. На период обслуживания ванны колпак снимается («матрёшкой» на соседний или на грузозахват крана), отсос от вскрытой ванны дросселируется для сохранения разрежения в остальных. Дополнительно к колпакам в электролит дозируется FC-1100 (подавление кислотного тумана до &lt; 0,2 мг/м³ H2SO4 в воздухе), зал обеспечивается общеобменной приточно-вытяжной вентиляцией повышенной кратности (вне БИ).</w:t>
      </w:r>
    </w:p>
    <w:p>
      <w:r>
        <w:rPr>
          <w:sz w:val="20"/>
        </w:rPr>
        <w:t xml:space="preserve">4) ОБРАБОТКА КАТОДОВ НА КСМ. Спецкран подаёт борону с 28 матрицами на приёмный конвейер КСМ (принята производительность 120 матриц/ч при расчётной 105). Далее автоматически: двухстадийная промывка горячей водой (I ст. 25 м³/ч, 60–80 °С оборотная; II ст. 4 м³/ч, 90–115 °С свежая) в камере с туманоуловителем; поштучная передача роботами на станцию сдирки; прокатка валками, надрыв кромки, отделение двух пластин SPLIT-системой без сращивания по нижней кромке (требование сбыта); оптический контроль матриц машинным зрением с автоматической отбраковкой (повреждения обрамления, геометрии, чистоты поверхности) и учётом в электронном реестре парка матриц; кондиционные и подменные матрицы собираются на разгрузочном конвейере в полную ванновую загрузку под борону (шаг — равен катодному шагу ванны 95 мм; значение 100 мм из референса КСМ привести к фактическому шагу в опросном листе КСМ). Катоды укладываются в стопы с весовым контролем, маркировкой, увязкой тремя коррозионностойкими лентами (пакет 2500 ± 50 кг по требованию сбыта; референс КСМ — 1400–2000 кг, привести к 2500 в опросном листе), автоматическим пробоотбором (пресс, пробы цилиндрической формы «конвертом») и «перфорацией» пакета профилированием части листов под грузозахваты СГП. Промывные воды КСМ возвращаются в циркуляционный бак; при Cu ≥ 1,6 г/л и H2SO4 ≥ 2 г/л вода считается грязной и скачивается в ГМО.</w:t>
      </w:r>
    </w:p>
    <w:p>
      <w:r>
        <w:rPr>
          <w:sz w:val="20"/>
        </w:rPr>
        <w:t xml:space="preserve">5) ЧИСТКА ВАНН ОТ СВИНЦОВОГО ШЛАМА. Периодичность — по регламенту не чаще 1 раза в год на ванну (расчётная периодичность полной чистки 5 лет, совмещается со сменой анодов). Последовательность: ванна шунтируется закорачивающей рамой (масса 8,7 т, опирается на борта соседних ванн) так, чтобы аноды не оказались в режиме КЗ; электроды полностью выгружаются краном (аноды — на стеллаж разбраковки/промывки); ванна опорожняется переносной помпой в сливной карман; под донную пробку (дно с уклоном к центру) по подванным рельсам подводится мобильный опрокидывающийся нутч-фильтр (вне БИ); плотный слой шлама смывается струёй воды через донное отверстие; шлам промывается горячей водой (40–70 °С, 2 м³/т) и обезвоживается на стационарной вакуумной площадке; выгрузка опрокидыванием в транспортную тару. Выход шлама с ванны за чистку ≈1,44 т (насыпной вес влажного 3,2 т/м³), годовой ≈25,9–30 т (сух.), влажность отмытого 20–30 %, Pb ≈50 %. Фильтрат и промводы — в репульпатор поз. 4.1.21 ГМУ. Промытый шлам утилизируется совместно с отработанными анодами в специализированной организации.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питания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 (сумма на 2 серии 1600–1650 м³/ч); ≈9,1 м³/ч на ванну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Съём меди в ванне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 кг/м³ (40 → 35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 наращивания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6–7 сут; выгрузка 3 × 1/3 матриц (по 28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Чистка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 раз/год; шунтирование рамой 8,7 т; шлам 1,44 т/ванну; вода 2 м³/т, 40–70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Аноды/матрицы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Pb–Ca–Sn 85 шт./ванну (кампания 5–7 лет); матрицы 316L 84 шт./ванну (6 лет)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1.3.8–1.3.9,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«Правила безопасности процессов получения или применения металлов» (приказ Ростехнадзора от 09.12.2020 № 512) — Требования к электролизному производству, обслуживанию ванн, ГПМ в техпроцессе; ГОСТ 12.1.005-88 — ПДК в воздухе рабочей зоны: H2SO4 (аэрозоль) 1 мг/м³, Cu 0,5 мг/м³, соли Ni 0,005 мг/м³; ГОСТ 12.4.021-75 — Системы вентиляционные — требования к аспирации и общеобменной вентиляции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Отсос от вскрытой ванны при снятом колпаке: величина дросселирования и схема — определяется на стадии БИ совместно с проектировщиком аспирации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 FC-1100: производство 3М остановлено (ИД ч.2, прил. Б) — в БИ заложить аналоги (Eagles 1100, ChemShi NF-100) с испытаниями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пакета: референс КСМ 1400–2000 кг против требования сбыта 2500 ± 50 кг — закрепить 2500 кг в опросном листе КСМ</w:t>
      </w:r>
    </w:p>
    <w:p>
      <w:pPr>
        <w:pStyle w:val="Heading2"/>
      </w:pPr>
      <w:r>
        <w:rPr>
          <w:b/>
          <w:sz w:val="26"/>
        </w:rPr>
        <w:t xml:space="preserve">Электрический расчёт серии электролиза</w:t>
      </w:r>
    </w:p>
    <w:p>
      <w:r>
        <w:rPr>
          <w:sz w:val="20"/>
        </w:rPr>
        <w:t xml:space="preserve">ИСХОДНЫЕ: 180 ванн в 2 серии по 90 (последовательное соединение ванн в серии по постоянному току); в ванне 84 катода рабочей площадью 2,0 м² (обе стороны); катодный выход по току η = 89 %; электрохимический эквивалент меди q = M/(z·F) = 63,546/(2 × 26,8014) = 1,1855 г/(А·ч).</w:t>
      </w:r>
    </w:p>
    <w:p>
      <w:r>
        <w:rPr>
          <w:sz w:val="20"/>
        </w:rPr>
        <w:t xml:space="preserve">1) АКТИВНАЯ ПЛОЩАДЬ И ТОКИ. Площадь осаждения ванны S = 84 × 2,0 = 168 м². Номинальный ток серии при расчётной плотности тока 280 А/м²: I_ном = 280 × 168 = 47 040 А ≈ 47,0 кА — по нему выбраны выпрямители (47,0 кА; 3 шт: по одному на серию + общий резервный, ошиновка допускает работу резерва на любую серию; вне БИ). Фактический (среднеэксплуатационный) ток серии I_факт = 42,45 кА, чему отвечает фактическая плотность тока j = 42 450/168 = 252,7 А/м². Номинальная средняя токовая нагрузка на электрод 47 040/84 = 560 А (ИД табл. 3.1).</w:t>
      </w:r>
    </w:p>
    <w:p>
      <w:r>
        <w:rPr>
          <w:sz w:val="20"/>
        </w:rPr>
        <w:t xml:space="preserve">2) ОБОСНОВАНИЕ j = 252,7 А/м². Требуемый часовой съём меди 8066,1 кг/ч обеспечивается при 280 А/м² расчётным числом ванн n = 8066,1/49,49 = 163 шт. (49,49 кг/ч — производительность ванны при 280 А/м² по ИД; проверка по Фарадею: 1,1855 × 47 040 × 0,89 = 49,63 кг/ч, сходимость 0,3 %). Принято 180 ванн (запас 10 % на неравномерность поставки сырья, ИД табл. 3.1). При том же съёме металла, распределённом на 180 ванн: m_ванны = 8066,1/180 = 44,81 кг/ч, откуда I = m/(q·η) = 44 810/(1,1855 × 0,89) = 42 470 А ≈ 42,45 кА и j = 252,7 А/м². Снижение рабочей плотности тока на 10 % относительно номинала даёт: запас на форсировку до 280 А/м² при пиковой поставке сырья и выводе ванн в чистку; более равномерный и плотный осадок (ниже риск дендритов и КЗ); снижение напряжения ванны и удельного расхода электроэнергии; снижение туманообразования. Верхний предел кратковременно — 420 А/м² на оставшихся электродах при изъятии 1/3 катодов (280 × 3/2 = 420, прил. В ДЕЛЬТА).</w:t>
      </w:r>
    </w:p>
    <w:p>
      <w:r>
        <w:rPr>
          <w:sz w:val="20"/>
        </w:rPr>
        <w:t xml:space="preserve">3) НАПРЯЖЕНИЯ. Номинальное напряжение ванны U_в = 2,05 В (ИД табл. 3.1; структура: равновесная ЭДС ≈0,9 В + перенапряжения O2/Cu + омические потери в электролите, контактах и электродах), максимальное 2,5 В (конец кампании анодов, загрязнение контактов; по прил. В ДЕЛЬТА проектное до 2,71 В). Падение в межванновой ошиновке 0,06 В/ванну. Напряжение серии: U_с = 90 × (2,05 + 0,06) = 189,9 ≈ 190 В (ном); максимальное 90 × 2,5 ≈ 225 В — отвечает номиналу выпрямителя 227 В, потолок 250 В покрывает деградационные режимы и запас регулирования. Мощность серии P = 190 × 42,45 = 8,06 МВт; двух серий — 16,1 МВт постоянного тока.</w:t>
      </w:r>
    </w:p>
    <w:p>
      <w:r>
        <w:rPr>
          <w:sz w:val="20"/>
        </w:rPr>
        <w:t xml:space="preserve">4) УДЕЛЬНЫЙ РАСХОД ЭЛЕКТРОЭНЕРГИИ. w = U_в/(q·η) = 2,05/(0,0011855 × 0,89) = 1943 ≈ 1940 кВт·ч/т (ИД табл. 3.1 — на шинах ванн, без потерь в магистральных шинах и преобразователях, как оговорено в разд. 8 ИД). С учётом межванновой ошиновки (2,11 В) — ≈2000 кВт·ч/т. Годовое потребление технологической энергии постоянного тока 134 484 тыс. кВт·ч (табл. 8.5), что при 69 245 т/год даёт 1,942 МВт·ч/т — сходится. Потери в преобразователях и магистральных шинах (КПД тракта ≈0,96–0,97) добавляют ≈60–80 кВт·ч/т — уточняется в БИ по данным поставщика выпрямителей (вне БИ).</w:t>
      </w:r>
    </w:p>
    <w:p>
      <w:r>
        <w:rPr>
          <w:sz w:val="20"/>
        </w:rPr>
        <w:t xml:space="preserve">5) ТЕПЛОВЫДЕЛЕНИЕ В ЭЛЕКТРОЛИТ. Полная электрическая мощность двух серий 16,1 МВт. Полезно связывается в электрохимическом превращении I·U_тн, где U_тн — термонейтральное напряжение реакции CuSO4(р-р) + H2O → Cu + H2SO4(р-р) + ½O2 (оценочно 1,15–1,25 В; принять уточнённое значение по термодинамическому расчёту на стадии БИ). Тепловыделение в электролит двух серий: Q = 2 × 90 × I × (U_в − U_тн) = 2 × 90 × 42 450 × (2,05 − 1,20) ≈ 6,5 МВт (оценка). Из них ≈3,77 МВт снимается холодильниками циркуляции (раздел теплового баланса), остальное — испарение с зеркала ванн в аспирацию, потери с поверхностей ванн и трубопроводов (температура наружной стенки ванны ≤ 40 °С), вынос с катодами и отсекаемыми потоками. Полный тепловой баланс сводится в БИ.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Площадь осаждения 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Ток серии ном./факт.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n = 8066,1/49,49 = 163 расч. → 180 принято (запас 1,104)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× (227 В ном / 250 В макс; 47,0 кА); резерв на любую серию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Удельный расход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1940 кВт·ч/т на шинах ванн; ≈2000 с ошиновкой; 1,942 МВт·ч/т по году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Мощность пост. тока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8,06 МВт на серию; 16,1 МВт на отделение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расчёт: 190 В × 42,45 кА ×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Тепловыделение в электролит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≈6,5 МВт (оценка при U_тн ≈ 1,2 В); съём холодильниками 3,77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«Электролизные установки и установки гальванических покрытий» — Требования к электролизным установкам: изоляция, проходы, контроль изоляции, электрический разрыв в трубопроводах; ПУЭ (изд. 7), п. 1.2.17–1.2.21 — Категорирование надёжности электроснабжения; электролиз с непрерывным циклом — I категория (АСУ — I особая); ГОСТ 12.1.019-2017 (ССБТ. Электробезопасность) — Общие требования электробезопасности при постоянном токе до 250 В; ГОСТ 12.2.007.0-75 — Безопасность электротехнических изделий (ошиновка, шкафы)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термонейтральное напряжение U_тн для рабочего электролита — термодинамический расчёт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Потери в магистральных шинах и преобразователях — по данным поставщика выпрямителей (вне БИ), для сводного энергобаланса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(граница 5.2.7) — запрашиваются по расчёту нагрузок БИ</w:t>
      </w:r>
    </w:p>
    <w:p>
      <w:pPr>
        <w:pStyle w:val="Heading2"/>
      </w:pPr>
      <w:r>
        <w:rPr>
          <w:b/>
          <w:sz w:val="26"/>
        </w:rPr>
        <w:t xml:space="preserve">Тепловой и материальный баланс контура циркуляции</w:t>
      </w:r>
    </w:p>
    <w:p>
      <w:r>
        <w:rPr>
          <w:sz w:val="20"/>
        </w:rPr>
        <w:t xml:space="preserve">МАТЕРИАЛЬНЫЙ БАЛАНС КОНТУРА (на две серии, часовой). Вход в циркуляционные баки: бедный электролит из ванн 1600–1650 м³/ч (самотёк); богатый фильтрат контрольной фильтрации 124–125 м³/ч (102,9 кг/м³ Cu); промывные воды КСМ и системы аспирации, зумпфовые возвраты, растворы добавок, серная кислота и вода по балансу (в балансе растворов ИД предусмотрен резерв поступления воды; неиспользуемый резерв обязан компенсироваться подачей свежей производственной воды — ИД разд. 5). Выход: питание ванн 1600–1650 м³/ч (40 Cu/112 H2SO4, 50 °С); отсечка на выщелачивание 124,7 м³/ч (= 1038 тыс. м³/год при 8322 ч); на растворение медного купороса 3,2–3,5 м³/ч (= 27,3 тыс. м³/год). Съём меди в ваннах 5 кг/м³ × ≈1634 м³/ч ≈ 8,17 т/ч ≈ производительность 8,066 т/ч с учётом фактических концентраций. Кислотный баланс: на каждый кг осаждённой меди регенерируется 1,543 кг H2SO4 (98,08/63,55), т.е. ≈12,4 т/ч кислоты возвращается с бедным электролитом на выщелачивание — этим определяется кислотность оборотного раствора 120 кг/м³.</w:t>
      </w:r>
    </w:p>
    <w:p>
      <w:r>
        <w:rPr>
          <w:sz w:val="20"/>
        </w:rPr>
        <w:t xml:space="preserve">ТЕПЛОВОЙ БАЛАНС. Приход тепла: джоулево тепловыделение ванн ≈6,5 МВт (оценка, см. электрический расчёт); богатый фильтрат поступает с ≈65–75 °С через теплообменник поз. 4.1.17 (вне БИ), где отдаёт тепло оборотному раствору на выщелачивание. Расход тепла: съём в пластинчатых холодильниках поз. 4.2.2; испарение с зеркала ванн под колпаками (уносится аспирацией); теплопотери поверхностей (стенка ванны ≤ 40 °С); вынос с отсекаемыми потоками и катодами.</w:t>
      </w:r>
    </w:p>
    <w:p>
      <w:r>
        <w:rPr>
          <w:sz w:val="20"/>
        </w:rPr>
        <w:t xml:space="preserve">РАСЧЁТ ХОЛОДИЛЬНИКОВ. По ИД: весь поток питания охлаждается с 50,0 до 48,2 °С перед подачей в ванны (ΔT = 1,8 °С — в ваннах раствор снова нагревается до 50 °С). Q = G·ρ·c·ΔT = (1634,5/3600) м³/с × 1200 кг/м³ × 3,85 кДж/(кг·К) × 1,8 К = 3772 кВт ≈ 3780 кВт (ИД табл. 3.1). Охлаждающая вода нейтральной СОВ: 216 м³/ч суммарно, нагрев 22,5 → 37,5 °С (проверка: 216/3600 × 1000 × 4,19 × 15 = 3770 кВт — сходится). Принято 2 пластинчатых теплообменника по 2500 кВт (по одному на серию), суммарно 5000 кВт — коэффициент запаса 5000/3772 = 1,33. Запас обоснован: загрязнение пластин (гипсовые инкрустации — по опыту ГМУ требуется резерв поверхности на чистку), летний максимум температуры оборотной воды, форсировка тока до 280 А/м² (тепловыделение растёт ≈ пропорционально j², до +23 %), пусковые режимы.</w:t>
      </w:r>
    </w:p>
    <w:p>
      <w:r>
        <w:rPr>
          <w:sz w:val="20"/>
        </w:rPr>
        <w:t xml:space="preserve">ЧТО ЗАДАЁТ ТЕМПЕРАТУРНЫЙ РЕЖИМ 50 °С: сверху — рост кислотного туманообразования, ускоренная коррозия анодов и деструкция гуартека, размягчение ПП-обрамления матриц (ограничение 55 °С макс по прил. В); снизу — рост вязкости и удельного сопротивления электролита (рост U_в и удельного расхода), падение качества осадка и, критически, риск кристаллизации сульфатов при охлаждении растворов ниже 30–40 °С (ИД п. 4.2.1) с зарастанием трубопроводов и оборудования. Поэтому контур работает в узком коридоре 50 ± 2 °С со съёмом строго дозированного избытка джоулева тепла; холодильники ставятся на общем потоке ПЕРЕД ваннами (100 % потока через аппарат), а не в байпасе — это выравнивает температуру по всем 90 ваннам серии. Теплообменники в поставку Лота №3 не входят (перечень «не в БИ»), но их тепловые параметры — задание Лота №3 смежному проектировщику.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циркуляции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1600–1650 м³/ч на 2 серии (≈817 м³/ч на серию; 9,1 м³/ч на ванну)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300 м³ (расчёт 408,6 м³ = 0,25 ч × 1634,5 м³/ч; запас 1,25 по рабочему объёму)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поток на съём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Q = 3772 кВт (1634,5 м³/ч; 50 → 48,2 °С; c ≈ 3,85 кДж/(кг·К), ρ = 1200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2500 кВт (запас 1,33); вода 216 м³/ч,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Температурный коридор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4.2.1,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Отсечки из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124,7 м³/ч на выщелачивание; 3,2–3,5 м³/ч на растворение купороса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34347-2017 / ТР ТС 032/2013 — Сосуды и аппараты стальные сварные; безопасность оборудования под давлением — применимость к теплообменникам уточнить по параметрам (уточнить номер/применимость); СанПиН 1.2.3685-21 — Гигиенические нормативы микроклимата и воздуха рабочей зоны при тепловыделениях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Сводный тепловой баланс отделения (испарение с зеркала, потери поверхностей, унос аспирацией)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оборотной воды нейтральной СОВ на скруббер аспирации — не учтён в ИД, определяется в составе проекта (ИД п. 4.1.2)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теплофизических свойств электролита (c, ρ, вязкость при 45–55 °С) лабораторией Заказчика</w:t>
      </w:r>
    </w:p>
    <w:p>
      <w:pPr>
        <w:pStyle w:val="Heading2"/>
      </w:pPr>
      <w:r>
        <w:rPr>
          <w:b/>
          <w:sz w:val="26"/>
        </w:rPr>
        <w:t xml:space="preserve">Расходы материалов, реагентов и энергоресурсов</w:t>
      </w:r>
    </w:p>
    <w:p>
      <w:r>
        <w:rPr>
          <w:sz w:val="20"/>
        </w:rPr>
        <w:t xml:space="preserve">Нормы приняты по ИД ч.2 табл. 8.5/9.5 (годовые значения отнесены к расчётному выпуску ≈69,25 тыс. т Cu/год; проверка удельных: 17 312/69 245 = 0,250 кг/т — сходится). Часовые дозировки для проектирования узлов дозирования рассчитаны от часовой производительности 8,066 т Cu/ч.</w:t>
      </w:r>
    </w:p>
    <w:p>
      <w:r>
        <w:rPr>
          <w:sz w:val="20"/>
        </w:rPr>
        <w:t xml:space="preserve">ЭЛЕКТРОЭНЕРГИЯ технологическая (постоянный ток): 134 484 тыс. кВт·ч/год; 1,942 МВт·ч/т Cu; средняя часовая нагрузка 134 484/8584,8 ≈ 15,7 МВт (пиковая 16,1 МВт при 42,45 кА; до 18,7 МВт при форсировке 47 кА с ростом напряжения). Силовая электроэнергия (краны, КСМ ~105 кВт потребляемой, насосы-мешалки узлов реагентов, освещение) — определяется на стадии БИ сводной таблицей электроприёмников по Приложению №3.</w:t>
      </w:r>
    </w:p>
    <w:p>
      <w:r>
        <w:rPr>
          <w:sz w:val="20"/>
        </w:rPr>
        <w:t xml:space="preserve">КОЛЛОИДНАЯ ДОБАВКА ГУАРТЕК (Galactosol 40H4FDS1/40H4CD или аналог): 0,250 кг/т Cu; 17 312 кг/год; часовой дозис 0,25 × 8,066 = 2,02 кг/ч на отделение (≈1,0 кг/ч на серию). Приготовление: две поочерёдно работающие ёмкости (объём каждой ≥ 12 ч работы), медленное растворение в тёплой воде, тихоходные рамные мешалки; дозирование раствора в циркуляционные баки пропорционально ампер-часам серии. Производитель оригинала — США: в БИ заложить аналоги (гуаровая камедь/гидроксипропилгуар, поставщики Индия/Китай — ИД прил. Б) с опытной проверкой дозировки на стадии освоения.</w:t>
      </w:r>
    </w:p>
    <w:p>
      <w:r>
        <w:rPr>
          <w:sz w:val="20"/>
        </w:rPr>
        <w:t xml:space="preserve">АНТИАЭРОЗОЛЬНАЯ ДОБАВКА FC-1100 (3M): 0,200 кг/т Cu; 13 849 кг/год; 1,61 кг/ч на отделение. Рабочая концентрация в электролите 10–20 ppm активного вещества; ввод — со стороны всасывания циркуляционных насосов (перемешивание до входа в ванны). Внимание: производство FC-1100 компанией 3М остановлено (ИД прил. Б) — в БИ предусмотреть узел, совместимый с аналогами (Eagles 1100, ChemShi NF-100; дозировки аналогов 0,15–0,18 кг/т — подтвердить испытаниями).</w:t>
      </w:r>
    </w:p>
    <w:p>
      <w:r>
        <w:rPr>
          <w:sz w:val="20"/>
        </w:rPr>
        <w:t xml:space="preserve">КИСЛОТА СЕРНАЯ техническая (92,5 %, ГОСТ 2184-2013): 2719 т/год; 0,039 т/т Cu; ≈0,33 т/ч. Назначение — корректировка кислотности электролита (баланс кислоты в основном самоподдерживается регенерацией при электролизе). Источник — продукционная кислота СКО рафинировочного цеха. Соляная кислота 33 % (корректировка хлоридного фона 25–30 г/м³): до 4562 кг/год (0,55 кг/ч максимум при отсутствии хлоридов в огарке).</w:t>
      </w:r>
    </w:p>
    <w:p>
      <w:r>
        <w:rPr>
          <w:sz w:val="20"/>
        </w:rPr>
        <w:t xml:space="preserve">АНОДЫ из свинцового сплава (Pb–Ca 0,06–0,08 % – Sn 1,35–1,5 %, холоднокатаные, 940×952×6 мм со штангой): первичная загрузка 180 × 85 = 15 300 шт.; эксплуатационный расход 2300 шт./год (0,033 шт./т) — соответствует кампании 15 300/2300 ≈ 6,7 года (в коридоре ИД 5–7 лет). КАТОДНЫЕ МАТРИЦЫ (316L, 1000×1000×3,25 мм с ПП-обрамлением): первичная загрузка 180 × 84 = 15 120 шт.; расход 1150 шт./год (0,017 шт./т) — обновление парка за ≈13 лет с учётом ремонтов; срок службы матрицы 6 лет обеспечивается ремонтом обрамления (ПП-профиль 1170×22,5×10 мм — 2770 кг/год). ЗИП и нормы уточняются на стадии освоения (ИД п. 1.3.7, 1.3.11).</w:t>
      </w:r>
    </w:p>
    <w:p>
      <w:r>
        <w:rPr>
          <w:sz w:val="20"/>
        </w:rPr>
        <w:t xml:space="preserve">ВОДА: производственная (оз. Сопчъявр) — промывка КСМ (I ст. оборотная 25 м³/ч, II ст. свежая 4 м³/ч, 90–115 °С), промывка шлама 2 м³/т, промывка коллекторов аспирации, подпитка контура по балансу; общий расход по гидрометаллургии 74 837 м³/год (1,081 м³/т) — доля отделения выделяется в БИ. ПАР — подогрев воды II ступени промывки КСМ и резервный подогрев баков (0,417 Гкал/т по производству в целом; доля отделения — в БИ).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технологическая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134 484 тыс. кВт·ч/год; 1,942 МВт·ч/т; ср. 15,7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Гуартек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0,25 кг/т; 17 312 кг/год; 2,02 кг/ч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FC-1100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0,20 кг/т; 13 849 кг/год; 1,61 кг/ч; 10–20 ppm в электролите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8.5, прил. 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серная 92,5 %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2719 т/год; 39 кг/т; ≈0,33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соляная 33 %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4562 кг/год (0,55 кг/ч) на хлоридный фон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1.3.14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2300 шт./год (0,033 шт./т); загрузка 15 300 шт.; кампания ≈6,7 лет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1150 шт./год (0,017 шт./т); загрузка 15 120 шт.; ПП-профиль 2770 кг/год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/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0,417 Гкал/т и 1,081 м³/т по производству; доля отделения —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2184-2013 — Кислота серная техническая — требования к товарному реагенту; ГОСТ 857-95 — Кислота соляная синтетическая техническая (марка А/Б) для хлоридного фона; ГОСТ 5582-75 — Прокат нержавеющий (аналог 316L — 03Х17Н14М3) для матриц отечественной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Дозировки аналогов гуартека и FC-1100 — опытно-промышленные испытания на стадии освоения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и пара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упаковочных материалов пакетов — определяются поставщиком КСМ (ИД п. 1.3.11)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Перечень в границах БИ — по ТЗ v4.1 п. 6.3 («Оборудование, включаемое в состав БИ») с характеристиками по ИД ч.2 табл. 4.2; группировка по технологическим узлам.</w:t>
      </w:r>
    </w:p>
    <w:p>
      <w:r>
        <w:rPr>
          <w:sz w:val="20"/>
        </w:rPr>
        <w:t xml:space="preserve">1) ЭЛЕКТРОЛИЗНЫЙ ЗАЛ: электролизные ванны — 180 шт. (2 серии × 90; расчётно 163, запас 1,104), полимербетон монолитный (Unicell или аналог, конструкция по проекту ДЕЛЬТА), внутренние габариты 8485 × 1155 × 1650 мм, комплектация каждой: 84 катодных места + 85 анодных, коллектор подачи с креплениями, закладные рельсов нутча, донная пробка, установочные конусы позиционирования крана (прил. В); аспирационные укрытия — 180 комплектов (легкосъёмный колпак, интегрированный с бортовым отсосом), коррозионностойкое исполнение; ошиновка ванн — комплект на 180 ванн + концевые шинные мосты серий, медь, конструкция с двойным контактом (референс Outotec), падение ≤ 0,06 В/ванну; аноды Pb–Ca(0,06–0,08 %)–Sn(1,35–1,5 %) холоднокатаные 940×952×6 мм — первичная загрузка 15 300 шт.; катодные матрицы 316L 1000×1000×3,25 мм с ПП-обрамлением (система SPLIT) — первичная загрузка 15 120 шт.; закорачивающие рамы 8,7 т — не менее одной на серию (число — по графику чисток, уточняется в БИ); подъёмная рама (сборка с закорачивающей 10,0 т).</w:t>
      </w:r>
    </w:p>
    <w:p>
      <w:r>
        <w:rPr>
          <w:sz w:val="20"/>
        </w:rPr>
        <w:t xml:space="preserve">2) УЗЕЛ КСМ: роботизированная катодосдирочная машина — 1 комплект, принято 120 матриц/ч (расчёт 105; референс Outotec 250), роботы подачи/выгрузки (в референсе KUKA KR 300 / KR 180), установленная мощность 125 кВт, потребляемая 105 кВт, гидростанция 120 бар, пневматика 6 бар, охлаждающая вода 25 л/мин (≤ 30 °С, 1,5 бар), двухстадийная промывка (25 м³/ч оборотная + 4 м³/ч свежая), точность позиционирования до 1 мм, персонал 1 чел.; оборудование формирования пакетов (весовой контроль, маркировка, увязка, автоматический пробоотбор, «перфорация» профилированием листов) — пакет 2500 ± 50 кг (закрепить в опросном листе, референс 1400–2000 кг); оборудование автоматической изоляции кромок матриц — комплект (ПП-профиль 1170 × 22,5 × 10 мм, расход 2770 кг/год); автоматизированная транспортировка пакетов — конвейерная линия от КСМ до передаточных ворот СГП.</w:t>
      </w:r>
    </w:p>
    <w:p>
      <w:r>
        <w:rPr>
          <w:sz w:val="20"/>
        </w:rPr>
        <w:t xml:space="preserve">3) КРАНОВОЕ ХОЗЯЙСТВО (спецоснащение — в лоте): специальные автоматические краны с системой позиционирования — 2 шт. (по одному на серию/пролёт), грузоподъёмность ориентировочно 16–20 т (полный комплект 84 матриц с осадком 11,6 т + траверса-борона с поддоном 3–5 т), режим не легче А6/М7 (≈28 обслуживаний ванн/сут), рабочие части и оснастка 316L, ИК-контроль контактов и КЗ (рекомендация ИД п. 4.2.2).</w:t>
      </w:r>
    </w:p>
    <w:p>
      <w:r>
        <w:rPr>
          <w:sz w:val="20"/>
        </w:rPr>
        <w:t xml:space="preserve">4) ЭЛЕКТРОЛИТНОЕ ХОЗЯЙСТВО: циркуляционные баки — 2 × 300 м³ с перегородкой (расчётный запас 0,25 ч × 1634,5 м³/ч = 408,6 м³; сталь либо железобетон с кислотоупорной футеровкой, допускается изготовление по месту — ИД п. 4.2.2); узел гуартека — 2 поочерёдно работающие ёмкости (каждая ≥ 12 ч работы) с тихоходными рамными мешалками и насосами-дозаторами; узел FC-1100 (исполнение под аналоги Eagles 1100 / ChemShi NF-100); узлы дозирования H2SO4 (≈0,33 т/ч) и HCl 33 % (до 0,55 кг/ч).</w:t>
      </w:r>
    </w:p>
    <w:p>
      <w:r>
        <w:rPr>
          <w:sz w:val="20"/>
        </w:rPr>
        <w:t xml:space="preserve">СПРАВОЧНО — вне поставки лота, задание на стыке выдаёт БИ: выпрямители 3 × 47,0 кА / 227 (250) В; теплообменники 2 × 2500 кВт; циркуляционные насосы ≈820 м³/ч на серию; система аспирации со скруббером; нутч-фильтр; базовые мостовые краны (модернизация существующего парка — сценарий А).</w:t>
      </w:r>
    </w:p>
    <w:p>
      <w:r>
        <w:rPr>
          <w:sz w:val="20"/>
        </w:rPr>
        <w:t xml:space="preserve">КРИТЕРИЙ «ОСНОВНОГО» ОБОРУДОВАНИЯ (для опросных листов и ТКП; перечень фиксируется протоколом с Заказчиком): ванны, КСМ с формированием пакетов и изоляцией кромок, спецкраны, ошиновка, матрицы, аноды, укрытия, циркуляционные баки, АСУ с ППО.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шт.; 8485×1155×1650 мм; коллектор подачи и закладные — в комплекте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Электроды (первичная загрузка)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8.5; расчёт 180 × 85 / 180 × 84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 (референс КСМ)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расчёт нагрузок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300 м³ (расчёт 408,6 м³); допускается изготовление по месту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Узлы реагентов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гуартек 2 ёмкости ≥ 12 ч; FC-1100 под аналоги; дозирование H2SO4/HCl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1.3.13–1.3.14, прил. 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Вне поставки (задание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выпрямители, теплообменники, насосы, аспирация, нутч, базовые краны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п. 6.3 (перечень «не включается»)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сертификация/декларирование поставляемых позиций; ГОСТ 12.2.003-91 — Оборудование производственное. Общие требования безопасности; ГОСТ 15150-69 — Исполнение УХЛ3 для оборудования электролизного зала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закорачивающих рам (по графику чисток и совмещению со сменой анодов)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для опросных листов и ТКП — закрепить протоколом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Конструктив циркуляционных баков (сталь / железобетон с футеровкой по месту) — вариантная проработка БИ с оценкой стоимости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 ТЗ v4.1 (таблица границ Лота №3) точки подключения энергосред «уточняются при разработке БИ и ОТР для каждого вида оборудования в поставке»; БИ выдаёт предварительные данные для запросов ТУ и заданий смежным разделам.</w:t>
      </w:r>
    </w:p>
    <w:p>
      <w:r>
        <w:rPr>
          <w:sz w:val="20"/>
        </w:rPr>
        <w:t xml:space="preserve">ЭЛЕКТРОЭНЕРГИЯ. Средняя нагрузка отделения 16,07 МВт (блок EL-TOTAL), из них выпрямление 15,67 МВт средних (пик 16,1 МВт при 42,45 кА; при форсировке до 47 кА — до 18,7 МВт); вспомогательные потребители 16,07 − 15,67 ≈ 0,40 МВт средних: КСМ (потребляемая 105 кВт), спецкраны, мешалки и насосы-дозаторы узлов реагентов, АСУ, освещение. Категория надёжности — I (электролиз непрерывного цикла; допустимое окно перерыва питания ≤ 2 ч по условию сохранности анодов), АСУ — I особая (ИБП ≥ 10 мин). Расчёт электрических нагрузок для запроса ТУ — в составе БИ; запрос и получение ТУ — зона ответственности Заказчика (граница 5.2.7 / v4.1 «уточняется при БИ»).</w:t>
      </w:r>
    </w:p>
    <w:p>
      <w:r>
        <w:rPr>
          <w:sz w:val="20"/>
        </w:rPr>
        <w:t xml:space="preserve">ВОДА ПРОИЗВОДСТВЕННАЯ (оз. Сопчъявр): промывка КСМ II ступени — 4 м³/ч свежей (90–115 °С); промывка свинцового шлама — 2 м³/т (52–60 м³/год при 25,9–30 т сух./год); подпитка контура циркуляции по балансу растворов (неиспользуемый резерв поступления воды по ИД компенсируется свежей производственной водой — ИД разд. 5); промывка коллекторов аспирации (периодическая, слив в циркуляцию). ВОДА ОБОРОТНАЯ: нейтральная СОВ на холодильники электролита — 216 м³/ч (22,5 → 37,5 °С; 2 нитки по 108 м³/ч); промывка КСМ I ступени — 25 м³/ч (60–80 °С, оборотная внутри узла КСМ); охлаждающая вода КСМ — 25 л/мин (≤ 30 °С, 1,5 бар).</w:t>
      </w:r>
    </w:p>
    <w:p>
      <w:r>
        <w:rPr>
          <w:sz w:val="20"/>
        </w:rPr>
        <w:t xml:space="preserve">ПАР. Потребитель — подогрев воды II ступени промывки КСМ до 90–115 °С: при исходной температуре +5 °С (принято, зимний расчётный случай) Q = 4000 кг/ч × 4,19 кДж/(кг·К) × 100 К / 3600 ≈ 466 кВт ≈ 0,40 Гкал/ч пиковых; резервный подогрев циркуляционных баков — периодически (пусковые режимы, недопущение охлаждения ниже 40 °С). Доля отделения в общезаводской норме 0,417 Гкал/т — выделяется расчётом БИ.</w:t>
      </w:r>
    </w:p>
    <w:p>
      <w:r>
        <w:rPr>
          <w:sz w:val="20"/>
        </w:rPr>
        <w:t xml:space="preserve">СЖАТЫЙ ВОЗДУХ: пневматика КСМ — 6 бар; воздух КИП — отсечная/регулирующая арматура и подпор шкафов АСУ очищенным воздухом (Прил. №5); граница — фланец на вводе в цех (по предыдущей редакции ТЗ п. 5.2.5; в v4.1 — уточняется при БИ/ОТР); расходы — по опросным листам поставщиков. Гидравлика КСМ 120 бар — автономная станция в комплекте поставки, внешних подключений не требует.</w:t>
      </w:r>
    </w:p>
    <w:p>
      <w:r>
        <w:rPr>
          <w:sz w:val="20"/>
        </w:rPr>
        <w:t xml:space="preserve">ВОДООТВЕДЕНИЕ. Технологических стоков в наружные сети нет — контур замкнут: промывные воды КСМ и аспирации, зумпфовые воды → циркуляционные баки; «грязная» вода КСМ (Cu ≥ 1,6 г/л, H2SO4 ≥ 2 г/л) → ГМО; фильтрат и промводы шламового узла → репульпатор поз. 4.1.21 ГМУ. Хозбытовые и дождевые стоки — по площадочным сетям (вне БИ, по ТУ).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ср. 16,07 МВт (выпрямление 15,67 + вспом. 0,40); пик до 18,7 МВт; I категория, окно ≤ 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свежая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м³/ч (КСМ II ст.) + 2 м³/т шлама + подпитка по балансу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оборотная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216 м³/ч СОВ (холодильники) + 25 м³/ч (КСМ I ст.) + 25 л/мин (охлаждение КСМ)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≈0,40 Гкал/ч пик (подогрев 4 м³/ч с +5 до 90–115 °С; пересчёт показан)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КСМ 6 бар + воздух КИП (подпор шкафов); расход — по опросным листам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Водоотведение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замкнутый контур; грязные воды КСМ → ГМО; фильтрат шлама → поз. 4.1.21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п. 1.2.17–1.2.21 — Категории надёжности электроснабжения потребителей отделения; ГОСТ 17433-80 — Классы загрязнённости сжатого воздуха (воздух КИП)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(вода, стоки, электроэнергия, пар) — запрашиваются Заказчиком по расчётам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(1,081 м³/т) и пара (0,417 Гкал/т)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Суммарный расход воздуха КИП и качество осушки — по опросным листам арматуры и шкафов АСУ</w:t>
      </w:r>
    </w:p>
    <w:p>
      <w:pPr>
        <w:pStyle w:val="Heading2"/>
      </w:pPr>
      <w:r>
        <w:rPr>
          <w:b/>
          <w:sz w:val="26"/>
        </w:rPr>
        <w:t xml:space="preserve">Сведения по электроснабжению и электрооборудованию (по Приложению №3)</w:t>
      </w:r>
    </w:p>
    <w:p>
      <w:r>
        <w:rPr>
          <w:sz w:val="20"/>
        </w:rPr>
        <w:t xml:space="preserve">Объём сведений Прил. №3 на стадии БИ — по его собственной оговорке «уточняется с учётом согласованных границ проектирования»; ниже — предлагаемый состав уровня FEED (закрепляется протоколом), детальная электрика (кабельные журналы, светотехника, планы прокладки) — этап РД.</w:t>
      </w:r>
    </w:p>
    <w:p>
      <w:r>
        <w:rPr>
          <w:sz w:val="20"/>
        </w:rPr>
        <w:t xml:space="preserve">ИСТОЧНИКИ И СХЕМА. Сценарий А — существующая встроенная преобразовательная подстанция ЦЭМ (черт. ФМ-59435); сценарий Б (базовый) — новая подстанция при корпусе ЭЭ, размещение у торца выпрямителей (короткие магистральные шины). Схема: два независимых ввода 6(10) кВ (I категория), выпрямительные агрегаты — по одному на серию + общий резервный с перекрёстной ошиновкой (переключение без остановки серии); вспомогательные потребители 0,4 кВ — от двухтрансформаторной КТП с АВР. Итоговые нагрузки для ТУ: отделение — 16,07 МВт средних / до 18,7 МВт при форсировке; комплекс ОВЭ в целом — ≈17,3 МВт средних, ≈21 МВт установленных (расчётная записка КВАНТ).</w:t>
      </w:r>
    </w:p>
    <w:p>
      <w:r>
        <w:rPr>
          <w:sz w:val="20"/>
        </w:rPr>
        <w:t xml:space="preserve">СВОДНАЯ ТАБЛИЦА ЭЛЕКТРОПРИЁМНИКОВ (объём БИ, по Прил.№3): установленная/расчётная мощность, категории по ПУЭ, коэффициенты — по перечню оборудования БИ; пусковые токи — для приводов ≥ 100 кВт по каталожным данным (в лоте таких единицы — гидростанция КСМ 125 кВт установленной); полная таблица с фактическими пусковыми характеристиками — детальный этап по vendor data.</w:t>
      </w:r>
    </w:p>
    <w:p>
      <w:r>
        <w:rPr>
          <w:sz w:val="20"/>
        </w:rPr>
        <w:t xml:space="preserve">КАЧЕСТВО СЕТИ И КРМ. Выпрямители 47 кА (вне лота) — определяющий источник высших гармоник и потребитель реактивной мощности узла; в задание на выпрямители БИ включает: нормы искажений на шинах 6(10) кВ по ГОСТ 32144-2013, целевой коэффициент мощности — по ТУ сетевой организации, состав фильтрокомпенсирующих устройств — по расчёту сети (краткое описание в БИ).</w:t>
      </w:r>
    </w:p>
    <w:p>
      <w:r>
        <w:rPr>
          <w:sz w:val="20"/>
        </w:rPr>
        <w:t xml:space="preserve">ЭЛЕКТРОБЕЗОПАСНОСТЬ ЗАЛА (ПУЭ разд. 7.10): сеть постоянного тока серий изолирована от земли, непрерывный контроль изоляции; ванны — на опорных изоляторах (двухступенчатая изоляция), трубопроводы — электрические разрывы на подаче/приёме; напряжение серии до 225 В — изолирующие настилы/площадки обслуживания вдоль рядов, исключение одновременного касания точек серии с большой разностью потенциалов; шинные мосты — ограждение. Заземление и молниезащита: концепция в БИ (для нового корпуса); выбор типа заземлителя — по данным изысканий на детальном этапе.</w:t>
      </w:r>
    </w:p>
    <w:p>
      <w:r>
        <w:rPr>
          <w:sz w:val="20"/>
        </w:rPr>
        <w:t xml:space="preserve">ОСВЕЩЕНИЕ (в БИ — требования): среда химически активная (аэрозоли H2SO4) — светильники IP65, коррозионностойкие корпуса; нормируемая освещённость зон обслуживания ванн, КСМ и щитовых — по СП 52.13330; зоны аварийного и эвакуационного освещения — определяются в БИ; светотехнический расчёт и выбор типов — РД.</w:t>
      </w:r>
    </w:p>
    <w:p>
      <w:r>
        <w:rPr>
          <w:sz w:val="20"/>
        </w:rPr>
        <w:t xml:space="preserve">Ex-ЗОНЫ: помещение категории В2 (пожароопасная); взрывоопасные зоны в электролизном зале не предусматриваются — выделение водорода при электроэкстракции меди в нормальном режиме незначительно; подтверждающий расчёт газовыделения — в БИ, чертежи Ex-зон не выпускаются (обоснование в ПЗ).</w:t>
      </w:r>
    </w:p>
    <w:p>
      <w:r>
        <w:rPr>
          <w:sz w:val="20"/>
        </w:rPr>
        <w:t xml:space="preserve">Графика электро-части БИ: однолинейные схемы 6(10)/0,4 кВ отделения, планы размещения основного электрооборудования и главные кабельные коридоры, предварительные сечения основных питающих кабелей, расчёт токов КЗ для предварительного выбора аппаратов.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для 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16,07 МВт ср. / 18,7 МВт форсировка; комплекс ≈17,3 ср. / ≈21 МВт уст.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электролиз I (окно ≤ 2 ч); АСУ I особая; вспомогательные II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п. 1.2.17–1.2.21;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Схема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ввода 6(10) кВ; 3 выпрямителя (2 + 1 резерв, перекрёстная ошиновка); КТП 0,4 кВ с АВР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Гармоники/КРМ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нормы ГОСТ 32144-2013 на шинах 6(10) кВ; ФКУ — по расчёту сети (задание на выпрямители)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ГОСТ 32144-2013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Изоляция зала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IT-сеть серий, контроль изоляции; изолирующие настилы; разрывы трубопроводов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разд. 7.10; ИД ч.2 п. 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Электролизные установки: изоляция, контроль, проходы, разрывы; ГОСТ 32144-2013 — Нормы качества электрической энергии (гармоники от выпрямителей); СП 52.13330.2016 — Естественное и искусственное освещение — нормируемые уровни; Приложение №3 к ТЗ — Состав сведений по электроснабжению; объём на БИ — по согласованным границам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объёма Приложения №3 на стадии БИ (перечень действующих пунктов) — согласовать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Целевой cos φ и допустимые искажения — по ТУ сетевой организации (запрашивает Заказчик)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Расчёт выделения водорода в зале (обоснование отсутствия Ex-зон) — выполняется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заземлителя (глубинные электроды/сетка) — по удельному сопротивлению грунтов, данные изысканий (вне БИ)</w:t>
      </w:r>
    </w:p>
    <w:p>
      <w:pPr>
        <w:pStyle w:val="Heading2"/>
      </w:pPr>
      <w:r>
        <w:rPr>
          <w:b/>
          <w:sz w:val="26"/>
        </w:rPr>
        <w:t xml:space="preserve">PFD и P&amp;ID: контуры регулирования, блокировки, уставки</w:t>
      </w:r>
    </w:p>
    <w:p>
      <w:r>
        <w:rPr>
          <w:sz w:val="20"/>
        </w:rPr>
        <w:t xml:space="preserve">Состав графической части: PFD отделения с границами проектирования (потоки: богатый фильтрат; питание серий; бедный электролит; отсечки на выщелачивание/растворение; промводы КСМ и аспирации; шлам; катоды) и P&amp;ID по узлам: циркуляция серии 1 и 2, узел реагентов, КСМ, шламовый узел. Схемы выполняются по ГОСТ 21.408-2013 с полным перечнем контуров, связей, уставок сигнализаций и блокировок (требование Прил. №5).</w:t>
      </w:r>
    </w:p>
    <w:p>
      <w:r>
        <w:rPr>
          <w:sz w:val="20"/>
        </w:rPr>
        <w:t xml:space="preserve">ОСНОВНЫЕ КОНТУРЫ РЕГУЛИРОВАНИЯ (на каждую серию, если не оговорено):
- FIC-01 «Расход электролита на серию»: уставка 800–825 м³/ч (9,1 м³/ч на ванну), электромагнитный/ультразвуковой расходомер на напорном коллекторе; регулирование частотным приводом циркуляционного насоса (насос вне БИ — сигнал 4–20 мА/Modbus передаётся смежной системе, стык фиксируется в задании); распределение по ваннам — настроечная арматура/дроссели с контролем давления коллектора PI-02. Сигнализация L при −10 %, блокировочная уставка LL 70 % номинала.
- TIC-03 «Температура питания ванн»: уставка 48,2 ± 0,5 °С после холодильника (в ваннах нагрев до 50 °С); регулирующий клапан на оборотной воде (108 м³/ч на нитку); предупредительная H 52 °С, аварийная HH 55 °С (макс. по прил. В); L 45 °С (риск роста вязкости), LL 40 °С (порог кристаллизации — запрет снижения расхода воды невозможен, предусмотреть байпас холодильника).
- LIC-04 «Уровень в циркуляционном баке»: поддержание рабочего диапазона (бак 300 м³; рабочий объём 85 %); подпитка производственной водой по балансу; сигнализация H/L, блокировки: LL — остановка циркуляционного насоса (защита от сухого хода, сигнал смежной системе), HH — запрет приёма промвод, сигнал на дренаж.
- QIC-05 «Дозирование гуартека»: пропорционально интегралу тока серии (кг/т через счётчик А·ч), номинал 1,0 кг/ч на серию; QIC-06 «Дозирование FC-1100» — аналогично, 0,8 кг/ч на серию; насосы-дозаторы с обратной связью по фактическому расходу.
- QIC-07 «Кислотность/состав»: поточный контроль плотности и температуры электролита; периодический автоматизированный пробоотбор с лабораторным анализом Cu/H2SO4/Cl/Ni/Fe; дозирование H2SO4 клапаном по заданию оператора с контролем расхода; дозирование HCl — по лабданным (Cl 25–30 г/м³).
- JIC-08 «Токовая нагрузка серии»: задание выпрямителю (вне БИ, интерфейс Modbus TCP) от плана-задания АСУ; ограничения: I ≤ 47,0 кА, U серии ≤ 225 В; скорость изменения тока ограничивается (мягкий набор после обслуживания). Мониторинг напряжений ванн (90 точек на серию, милливольтовые измерения на шинах): U ванны &lt; 1,8 В — признак КЗ (сигнал на карту КЗ и задание крану/ИК-контролю), U &gt; 2,5 В — деградация контактов/анодов.</w:t>
      </w:r>
    </w:p>
    <w:p>
      <w:r>
        <w:rPr>
          <w:sz w:val="20"/>
        </w:rPr>
        <w:t xml:space="preserve">БЛОКИРОВКИ (ключевые): 1) потеря циркуляции серии (FIC-01 LL либо остановка насоса) → автоматическое снижение тока серии до дежурного уровня с выдержкой времени (уставка выдержки — по тепловой инерции ванн, определяется в БИ; длительный электролиз без протока ведёт к обеднению приэлектродного слоя и порче осадка); 2) остановка аспирации (сигнал смежной системы) → предупредительная сигнализация, при длительности сверх уставки — снижение тока (рост тумана); 3) TIC-03 HH → запрет повышения тока; 4) размыкание цепи серии/скачок U → аварийное отключение выпрямителя (функция вне БИ, требование к стыку); 5) работы крана над ванной → программная блокировка изменения тока серии сверх заданного; 6) LL уровня в баке → остановка дозирования реагентов. Согласно ПУЭ 7.10 предусматривается контроль изоляции сети постоянного тока и электрический разрыв (разрыв струи/изолирующие вставки) на подаче и приёме растворов каждой ванны и на коллекторах серий (ИД п. 4.2.2: «обеспечить электрический разрыв на линии подачи растворов или на линии их приёма в бак»).</w:t>
      </w:r>
    </w:p>
    <w:p>
      <w:r>
        <w:rPr>
          <w:sz w:val="20"/>
        </w:rPr>
        <w:t xml:space="preserve">КИПиА: приборы — из линеек, эксплуатируемых на площадке Заказчика (согласование обязательно, Прил. №5); исполнение IP65+, коррозионностойкие смачиваемые части (тантал/PTFE/керамика для сред с H2SO4); байпасные линии в местах расходомеров; СИ — только из Госреестра РФ с первичной поверкой (102-ФЗ, ГОСТ Р 8.596-2002).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FIC расход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м³/ч; LL 70 % — блокировка со снижением тока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TIC температура питания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48,2 ± 0,5 °С; H 52 / HH 55 / L 45 / LL 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прил. В, п.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LIC уровень циркбака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бак 300 м³; HH/H/L/LL; защита насосов и приёма промвод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QIC дозирование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гуартек 0,25 кг/т, FC-1100 0,20 кг/т — пропорционально А·ч серии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JIC ток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≤ 47,0 кА; U серии ≤ 225 В; мониторинг U по 90 ваннам, КЗ при U &lt; 1,8 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Электрический разрыв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линиях подачи/приёма растворов ванн и коллекторах серий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ПУЭ разд. 7.10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(функциональные схемы, перечни контуров и блокировок); ГОСТ Р 8.596-2002 — Метрологическое обеспечение измерительных систем; Федеральный закон № 102-ФЗ — Обеспечение единства измерений; СИ из Госреестра с первичной поверкой; ПУЭ (изд. 7), разд. 7.10 — Контроль изоляции, электрические разрывы в трубопроводах электролизных установок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Выдержки времени блокировок по потере циркуляции/аспирации — расчёт тепловой и газовой инерции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поточных анализаторов состава электролита (плотномер/кондуктометр/УФ) — согласование с Управлением автоматизации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способ милливольтового контроля напряжения ванн (штатные щупы шин или мобильный контроль краном) — вариантная проработка БИ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 (line list, ±20–30 %)</w:t>
      </w:r>
    </w:p>
    <w:p>
      <w:r>
        <w:rPr>
          <w:sz w:val="20"/>
        </w:rPr>
        <w:t xml:space="preserve">Line list по потокам предварительных P&amp;ID; точность по количеству ±20–30 % (редакция состава v4.1). Скорости проверены при принятых DN (критерий для пластиковых напорных линий ≤ 3 м/с, самотёчных — по уклону).</w:t>
      </w:r>
    </w:p>
    <w:p>
      <w:r>
        <w:rPr>
          <w:sz w:val="20"/>
        </w:rPr>
        <w:t xml:space="preserve">ОСНОВНЫЕ ЛИНИИ:
1) Напорные коллекторы питания серий — 2 × DN350 (817 м³/ч на нитку; скорость 817/3600/0,0962 = 2,4 м/с), ПП/ПВДФ/футерованная сталь, 50 °С, среда 112–120 кг/м³ H2SO4; разбиение на плечи вдоль рядов.
2) Индивидуальные подводы к ваннам — 180 × DN80 (9,1 м³/ч; 0,5 м/с — запас на настроечное дросселирование и зарастание), каждый с настроечной арматурой и разрывом струи.
3) Слив бедного электролита — переливные карманы 180 шт. → самотёчные лотки/коллекторы 2 ниток в циркуляционные баки (уклон на опорожнение).
4) Отсечка на выщелачивание — DN200 (124,7 м³/ч; 1,1 м/с); отсечка на растворение купороса — DN40 (3,2–3,5 м³/ч; 0,75 м/с).
5) Оборотная вода холодильников — 2 × DN150 (108 м³/ч; 1,7 м/с) подача/возврат с регулирующим клапаном TIC-03.
6) Промывная вода КСМ — DN100 (I ст., 25 м³/ч; 0,9 м/с) и DN50 (II ст., 4 м³/ч; 0,6 м/с) + пар/конденсат узла подогрева II ступени.
7) Реагентные линии — H2SO4 92,5 % DN25 (0,33 т/ч ≈ 0,18 м³/ч при ρ ≈ 1,83 т/м³); HCl 33 % DN15; растворы гуартека и FC-1100 — дозировочные DN15–25 от насосов-дозаторов.</w:t>
      </w:r>
    </w:p>
    <w:p>
      <w:r>
        <w:rPr>
          <w:sz w:val="20"/>
        </w:rPr>
        <w:t xml:space="preserve">АРМАТУРА (оценка ±30 %): доминанта — обвязка ванн: 180 × (настроечная + отсечная) = 360 ед. DN80; коллекторная запорная и секционирующая ≈ 40; вода/пар ≈ 30; реагентные и дренажные ≈ 60–80; итого ≈ 500 ед. Материалы: ПП/ПВДФ корпуса, футерованные диафрагмовые и шаровые для кислых сред; металл — только на воде и паре.</w:t>
      </w:r>
    </w:p>
    <w:p>
      <w:r>
        <w:rPr>
          <w:sz w:val="20"/>
        </w:rPr>
        <w:t xml:space="preserve">ПРИБОРЫ (вне комплектных систем КСМ и кранов, имеющих собственные ПЛК): расходомеры электромагнитные/ультразвуковые — 6–8 (питание серий 2, отсечки 2, оборотная вода 2, промвода); температура — ≈20 точек (питание/возврат серий, баки, холодильники до/после, вода); уровень — 4–6 (циркуляционные баки, зумпфы); давление — 8–10 (коллекторы, напор насосов — стык со смежной системой); плотномеры поточные — 2; милливольтовый контроль напряжений ванн — 180 точек (спецсистема, см. АСУ); дозирование — счётчики-расходомеры реагентов 4–6. Суммарный объём физических сигналов АСУ отделения 450–650 (расчётная записка КВАНТ) — перечень согласуется с числом приборов.</w:t>
      </w:r>
    </w:p>
    <w:p>
      <w:r>
        <w:rPr>
          <w:sz w:val="20"/>
        </w:rPr>
        <w:t xml:space="preserve">СПЕЦИФИКАЦИЯ НА КИПиА для Лота №3 из состава v4.1 исключена (строка вычеркнута в ред. v4.1); критичные и длинноцикловые приборы (поточные плотномеры/анализаторы, расходомеры больших DN в футеровке, система милливольтового контроля) — закрываются опросными листами. Смачиваемые части приборов — тантал/PTFE/керамика; СИ — Госреестр РФ с первичной поверкой.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серий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DN350; 817 м³/ч; 2,4 м/с; ПП/ПВДФ/футеровка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расчёт скорости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Подводы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× DN80 (9,1 м³/ч; 0,5 м/с) с настроечной арматурой и разрывом струи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Отсечки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DN200 (124,7 м³/ч) на выщелачивание; DN40 (3,2–3,5 м³/ч) на купорос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5.1;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≈500 ед. (±30 %), доминанта — обвязка 180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P&amp;ID (line list)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Приборы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≈40–60 полевых КИП + 180 точек mV-контроля; сигналов АСУ 450–650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КВАНТ;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Спецификация КИПиА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исключена из состава Лота №3 (v4.1); критичные приборы — опросными листами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(правка состава)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перечней приборов и схем автоматизации; ГОСТ 32569-2013 — Трубопроводы технологические стальные — для футерованных стальных участков; Федеральный закон № 102-ФЗ; ГОСТ Р 8.596-2002 — СИ из Госреестра, поверка, метрологическое обеспечение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DN и раскладки плеч коллекторов — гидравлический расчёт контура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Нормативная база напорных трубопроводов из ПП/ПВДФ (взамен ГОСТ 32569 для пластика)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дренажей/воздушников и секционирующей арматуры — по трассировке компоновки БИ</w:t>
      </w:r>
    </w:p>
    <w:p>
      <w:pPr>
        <w:pStyle w:val="Heading2"/>
      </w:pPr>
      <w:r>
        <w:rPr>
          <w:b/>
          <w:sz w:val="26"/>
        </w:rPr>
        <w:t xml:space="preserve">Компоновка: существующий ЦЭМ (сценарий А) / новый корпус (сценарий Б — базовый)</w:t>
      </w:r>
    </w:p>
    <w:p>
      <w:r>
        <w:rPr>
          <w:sz w:val="20"/>
        </w:rPr>
        <w:t xml:space="preserve">ИСХОДНЫЕ ПО ЗДАНИЮ (резервный сценарий А). Существующий корпус электрорафинирования меди (ЦЭМ, Гипроникель, чертежи ФМ-59410…59419): шаг колонн 24 000 мм, крановый пролёт 22 000 мм (ИД п. 4.2.2); по обмерным чертежам ФМ-59415/59418 продольная сетка осей 1–32 с шагом 6,0 м — длина корпуса ≈186 м; отметки подкрановых конструкций ≈ +8,65…+10,60, низ ферм +14,32 (уточнить натурным обмером). В корпусе имеются встроенная преобразовательная подстанция (черт. ФМ-59435) и примыкающий склад готовой продукции ≈4048 м² (черт. ФМ-59415) — используются по назначению для Лотов №3–4.</w:t>
      </w:r>
    </w:p>
    <w:p>
      <w:r>
        <w:rPr>
          <w:sz w:val="20"/>
        </w:rPr>
        <w:t xml:space="preserve">СХЕМА РАЗМЕЩЕНИЯ. 180 ванн в две серии по 90; каждая серия — в отдельном крановом пролёте, в два ряда по 45 ванн; между сериями — общий продольный проход. Ванны ориентированы длинной осью ПОПЕРЁК пролёта; ряд набирается по ширине ванн. Выпрямители — у торца зала со стороны существующей преобразовательной подстанции (короткие магистральные шины), КСМ — у противоположного торца с выходом пакетного конвейера к передаточным воротам СГП. Баковое хозяйство (циркбаки 2 × 300 м³, узлы реагентов) — в отдельном (смежном) пролёте, отметка ниже ванн для самотёчного слива.</w:t>
      </w:r>
    </w:p>
    <w:p>
      <w:r>
        <w:rPr>
          <w:sz w:val="20"/>
        </w:rPr>
        <w:t xml:space="preserve">ПРОВЕРКА РАЗМЕЩЕНИЯ (габарит ванны: внутренний 8485 × 1155 × 1650 мм, стенка 80 мм → наружный 8645 × 1315 мм).
а) Поперёк пролёта: два ряда «голова к голове» 2 × 8,645 = 17,29 м; остаток 22,0 − 17,29 = 4,71 м. Раскладка остатка: центральный межрядный проход 1,8 м (обслуживание переливных карманов, трасса сборного воздуховода бортового отсоса под обслуживающей площадкой либо в подванном пространстве) + два пристенных прохода по 1,4–1,5 м (нормативный проход ≥ 1,2 м у электролизёров — ПУЭ 7.10/ФНП № 512) с трассами напорных коллекторов распределения электролита вдоль рядов. ВЫВОД: помещается, резерв ≈0,1–0,3 м, компоновка плотная — трассы воздуховода и коллекторов совмещаются по высоте.
б) Вдоль пролёта: шаг установки ванн = 1315 мм (корпус) + 85 мм (межванновый зазор под сборные шины и деформационные швы) = 1,40 м. Длина ряда из 45 ванн: 44 × 1,40 + 1,315 = 62,9 м ≈ 63 м. Торцевые зоны: шинный мост и выпрямительная ячейка 15–20 м; технологическая зона КСМ с конвейерами и накопителями 30–35 м. Требуемая длина зала: 63 + 20 + 35 ≈ 118 м &lt; 186 м корпуса. ВЫВОД: 180 ванн РАЗМЕЩАЮТСЯ; резерв ≈68 м продольно — на шламовый участок (стационарная вакуум-площадка нутча), стеллажи анодов/матриц, зону обслуживания кранов и перспективное расширение.
в) Контрпример (проверка задания): при ориентации ванн длинной осью ВДОЛЬ ряда потребовалось бы 45 × 8,645 м ≈ 389 м + зазоры — не помещается ни в 186 м длины, ни в какой пролёт; вариант отклоняется, что подтверждает единственность принятой поперечной ориентации.
г) Однорядный вариант (90 ванн в ряд): 89 × 1,40 + 1,315 ≈ 126 м + торцевые зоны ≈ 165–180 м — на пределе 186 м без резерва и с удвоением пробегов крана; отклонён в пользу двухрядного.</w:t>
      </w:r>
    </w:p>
    <w:p>
      <w:r>
        <w:rPr>
          <w:sz w:val="20"/>
        </w:rPr>
        <w:t xml:space="preserve">ВЫСОТНАЯ ПОСАДКА. Верх борта ванны ≈ +1,0…+1,2 м от пола зала (опорные тумбы + уклон дна к центральной донной пробке); подъём траверсы с матрицей (штанга 1325 мм + полотно 1000 мм + запас) над колпаками соседних ванн требует хода крюка до ≈ +6…+7 м — существующие подкрановые отметки (+8,65…+10,60) достаточны, подтверждается поверочным расчётом при модернизации кранов. Подванное пространство: рельсы мобильного нутч-фильтра, система отвода избыточного раствора на гибкой подводке, сливные карманы, кислотоупорный поддон-пол с бортиком и зумпфами (полы по СП 29.13330, кислотостойкая защита по СП 28.13330).</w:t>
      </w:r>
    </w:p>
    <w:p>
      <w:r>
        <w:rPr>
          <w:sz w:val="20"/>
        </w:rPr>
        <w:t xml:space="preserve">ТРУБОПРОВОДЫ И ВОЗДУХОВОД. Напорные коллекторы электролита (ПП/ПВДФ/футерованная сталь, DN300–350 на серию с разбиением на плечи) — вдоль пристенных проходов на стойках с уклоном на опорожнение; индивидуальные подводы DN80 с настроечной арматурой и разрывом струи; сливные лотки бедного электролита — самотёк в циркбак. Сборный воздуховод бортового отсоса — в межрядном пространстве, сечение из условия скорости 12–15 м/с (расход системы аспирации — задание смежному проектировщику, вне БИ), материал ПП/стеклопластик с промывочными форсунками и дренажем конденсата в циркуляцию.</w:t>
      </w:r>
    </w:p>
    <w:p>
      <w:r>
        <w:rPr>
          <w:sz w:val="20"/>
        </w:rPr>
        <w:t xml:space="preserve">СЦЕНАРИЙ Б — НОВОЕ СТРОИТЕЛЬСТВО (базовый по ТЗ v4.1 п.1.3). Новый корпус 36 × 190 м (2 пролёта по 18 м), высота до низа ферм ~16 м: две серии по 90 ванн последовательно (ряд из 45 ванн: 44 × 1,40 + 1,32 = 62,9 м ≈ 63 м), торцевая зона КСМ 30 м, ремонтная зона 20 м — корпус 36 × 190 м сохраняется с увеличенным резервом (2 × 63 + КСМ 30 + ремзона 20 = 176 м &lt; 190 м), электролитное отделение (циркуляционные баки 2×300 м³, теплообменники 2×2500 кВт, насосные) — в пристрое 24×42 м. Кислотостойкие полы и фундаменты ванн, мостовые краны над сериями. Кубатура ~128 тыс. м³ (≈1,7 м³/т мощности — в практике tankhouse 1,5–2,5). Оценка стоимости и полный расчёт — расчётная записка КВАНТ. 25.08.2026 ТЗ v4.1 (п.1.3) подтвердило: «новое строительство объектов комплекса ОВЭ на свободной территории … по варианту размещения, принятому Заказчиком» — сценарий Б (новый корпус) закреплён базовым. Пометки базиса в таблице объектов v4.1 вычеркнуты (зачёркнутое = исключено) — базис един; открыт статус обмерных Прил.№6/№7 в перечне приложений; сам «вариант размещения» (генплан) запрошен у Заказчика в составе исходных данных. Сценарий А (приспособление существующего ЦЭМ по Прил.№6) сохранён как резервный.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Пролёт, поперёк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п. 4.2.2;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Ряд 45 ванн, вдоль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44 × 1,40 + 1,315 = 62,9 м; с торцевыми зонами ≈118 м ≤ 186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чертёж ФМ-59415 (оси 1–32 × 6,0 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Вариант «торец к торцу»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 × 8,645 ≈ 389 м — НЕ помещается; отклонён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Шаг установки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1,40 м (корпус 1,315 + зазор 0,085 под сборные шины)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В рис. 20.3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 по торцам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выпрямители — торец у существующей преобразовательной подстанции; КСМ — противоположный торец у ворот СГП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4.2.2; ФМ-59415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борт ванны +1,0…1,2 м; ход крюка до +6…+7 м; подкрановые +8,65…+10,60 — достаточно (уточнить обмером)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ФМ-59418;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Проходы обслуживания электролизёров, изоляция ванн от строительных конструкций; СП 28.13330.2017 — Защита строительных конструкций от коррозии (кислотоупорные полы, поддоны); СП 29.13330.2011 — Полы — уклоны, зумпфы, химстойкие покрытия; ФНП (приказ Ростехнадзора № 461 от 26.11.2020) — Подъёмные сооружения: габариты приближения кранов, зоны обслуживания (в ИД упомянут прежний ПБ 10-382-00)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Натурные обмеры ЦЭМ: фактическая длина/ширина пролётов, отметки подкрановых путей, состояние колонн (чертежи 1971 г.)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длина зоны КСМ по планировке выбранного поставщика (референс Outotec — уточнить при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Сечение и трассировка сборного воздуховода — по расходу аспирации от смежного проектировщика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Демонтаж существующего оборудования электрорафинирования и состояние подванных конструкций — обследование до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Получить «вариант размещения, принятый Заказчиком» (генплан: границы участка, отметки, привязки к сетям) — как ИД для посадки корпуса; статус обмерных приложений №6/№7 подтвердить у Заказчика</w:t>
      </w:r>
    </w:p>
    <w:p>
      <w:pPr>
        <w:pStyle w:val="Heading2"/>
      </w:pPr>
      <w:r>
        <w:rPr>
          <w:b/>
          <w:sz w:val="26"/>
        </w:rPr>
        <w:t xml:space="preserve">Нагрузки на перекрытия и фундаменты</w:t>
      </w:r>
    </w:p>
    <w:p>
      <w:r>
        <w:rPr>
          <w:sz w:val="20"/>
        </w:rPr>
        <w:t xml:space="preserve">МАССА ВАННЫ В ЭКСПЛУАТАЦИИ (по прил. В ДЕЛЬТА и расчёту). Объём электролита при уровне 1340 мм: 8,485 × 1,155 × 1,34 = 13,13 м³; вытеснение электродами: катоды 84 × (1,0 × 1,0 × 0,00325) = 0,27 м³, аноды 85 × (0,94 × 0,952 × 0,006) = 0,46 м³; итого раствора 12,4 м³ × 1,2 т/м³ = 14,9 т. Состав нагрузки: ванна 8,7 т + электролит 14,9 т + аноды 5,525 т + катоды с наращённым металлом 11,592 т + остаток шлама 0,25 т = 41,0 т. Эксплуатационные добавки по прил. В: персонал 0,4 т, опирание рамы позиционирования крана 0,3 т; при обслуживании/чистке — закорачивающая рама 8,7 т (опирается на борта СОСЕДНИХ ванн) или сборка подъёмной и закорачивающей рам 10,0 т. Расчётный случай ванны с рамой: 41,0 + 10,0 + 0,4 = 51,4 т.</w:t>
      </w:r>
    </w:p>
    <w:p>
      <w:r>
        <w:rPr>
          <w:sz w:val="20"/>
        </w:rPr>
        <w:t xml:space="preserve">УДЕЛЬНЫЕ НАГРУЗКИ. Опорная проекция ванны 8,645 × 1,315 = 11,37 м²; эксплуатационная равномерно-распределённая эквивалентная 41,0/11,37 ≈ 3,6 т/м² (36 кПа), при обслуживании локально до 4,5 т/м² (45 кПа). Фактическая передача — сосредоточенно через опорные тумбы (4–6 точек на ванну, с электроизоляцией от конструкций) — нагрузки на точки опоры выдаёт поставщик ванн в строительном задании (прил. В, п. 15: статика пустой/рабочей/аварийной загрузки, разложение по осям X/Y/Z, коэффициенты надёжности и динамичности). Погонная нагрузка ряда: 41,0/1,40 ≈ 29,3 т/м.п. ряда; серия из 90 ванн ≈ 3690 т; отделение 180 ванн ≈ 7380 т (без рам и кранов).</w:t>
      </w:r>
    </w:p>
    <w:p>
      <w:r>
        <w:rPr>
          <w:sz w:val="20"/>
        </w:rPr>
        <w:t xml:space="preserve">Сравнение с существующим: корпус проектировался под ванны электрорафинирования — поверочный расчёт несущих конструкций подванных отметок обязателен (нагрузка сопоставима, но раскладка опор иная). Расчётные сочетания — по СП 20.13330 (коэффициент надёжности по нагрузке γf = 1,05–1,2 для оборудования с известной массой, 1,2 для жидкости; снеговая V район 3,2 кПа и ветровая II район 0,30 кПа — для проверки покрытия при новых проёмах воздуховодов); сейсмика 6 баллов (ОСР-2015-В/ОСР-97) — антисейсмические упоры опор ванн (прил. В), проверка по СП 14.13330.2018.</w:t>
      </w:r>
    </w:p>
    <w:p>
      <w:r>
        <w:rPr>
          <w:sz w:val="20"/>
        </w:rPr>
        <w:t xml:space="preserve">ДИНАМИКА ОТ СПЕЦКРАНОВ. Два крана (по одному на пролёт). Поднимаемый груз: полный комплект 84 матриц с осадком 11,6 т + траверса-борона с поддоном (оценочно 3–5 т) + колпак; требуемая грузоподъёмность ориентировочно 16–20 т (уточняется поставщиком; режим работы не легче А6/М7 по интенсивности циклов: 180 ванн / 6,5 сут ≈ 28 обслуживаний ванн в сутки на отделение, по 3 подъёма 1/3 + полный комплект). Вертикальные динамические воздействия на подкрановые балки — коэффициенты по СП 20.13330 (φ по группе режима), горизонтальные поперечные — от торможения тележки с грузом на гибком подвесе, продольные — от торможения моста; передаются на существующие подкрановые пути — обязательный поверочный расчёт путей и колонн при модернизации кранов (существующее крановое хозяйство ЦЭМ используется после модернизации — ИД п. 4.2.2). Закорачивающая рама при перестановке краном создаёт кратковременную сосредоточенную нагрузку 8,7 т на борта двух соседних ванн — учтено в прочности бортов (прил. В).</w:t>
      </w:r>
    </w:p>
    <w:p>
      <w:r>
        <w:rPr>
          <w:sz w:val="20"/>
        </w:rPr>
        <w:t xml:space="preserve">ФУНДАМЕНТЫ ОБОРУДОВАНИЯ ВНЕ РЯДОВ: циркбаки 2 × 300 м³ — масса брутто с раствором ≈ 300 × 1,2 + тара ≈ 380–400 т каждый (жёсткое требование к осадкам, кислотоупорный поддон на 100 % объёма); КСМ — рама с гидростанцией (нагрузки по данным поставщика); выпрямители и трансформаторы (вне БИ) — в существующей преобразовательной подстанции. Все фундаменты — с химзащитой по СП 28.13330.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в работе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 рамами при обслуживании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51,4 т (рамы 10,0 т + персонал 0,4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Эквивалентная удельная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≈36 кПа эксплуатация; до 45 кПа при обслуживании; 29,3 т/м.п. ряда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Суммарно на 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серия ≈3690 т; отделение ≈7380 т (без кранов и рам)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В, п. 4.1.2;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(ОСР-2015-В); антисейсмические упоры опор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2.9.4; ИД ч.2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крановые динамические коэффициенты, снег V/ветер II районов; СП 14.13330.2018 — Строительство в сейсмических районах (6 баллов); СП 28.13330.2017 — Химзащита фундаментов и подванных конструкций; ГОСТ 34467-2018 / ФНП № 461 — Краны мостовые: группы режимов, требования безопасности (номер ГОСТ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Поверочный расчёт существующих конструкций ЦЭМ (1971 г.) под новую раскладку опор ванн и модернизированные краны — по результатам обследования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Строительные задания поставщиков (ванны, КСМ, краны): точечные нагрузки, коэффициенты надёжности и динамики — прил. В, п. 15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и центр тяжести траверсы-бороны с поддоном — по данным поставщика кранового оборудования</w:t>
      </w:r>
    </w:p>
    <w:p>
      <w:pPr>
        <w:pStyle w:val="Heading2"/>
      </w:pPr>
      <w:r>
        <w:rPr>
          <w:b/>
          <w:sz w:val="26"/>
        </w:rPr>
        <w:t xml:space="preserve">Кислотозащита строительных конструкций и электрокоррозионная безопасность</w:t>
      </w:r>
    </w:p>
    <w:p>
      <w:r>
        <w:rPr>
          <w:sz w:val="20"/>
        </w:rPr>
        <w:t xml:space="preserve">СРЕДА ВОЗДЕЙСТВИЯ: электролит 112–120 кг/м³ H2SO4 при 50 °С (проливы, капёж с матриц по трассе кран—КСМ, брызги при обслуживании), аэрозоль H2SO4 в воздухе; по СП 28.13330.2017 растворы серной кислоты таких концентраций — сильноагрессивная среда для бетона и стальной арматуры. Исходные требования выдаются строительному разделу (вне БИ) как задание.</w:t>
      </w:r>
    </w:p>
    <w:p>
      <w:r>
        <w:rPr>
          <w:sz w:val="20"/>
        </w:rPr>
        <w:t xml:space="preserve">ЗОНИРОВАНИЕ ПО ИНТЕНСИВНОСТИ: (1) ряды ванн и подванное пространство — постоянный капёж и аварийные проливы: непрерывный кислотоупорный пол-поддон с бортиком и зумпфами; (2) межрядный и пристенные проходы, торцевые зоны и трасса переноса матриц краном — периодический капёж: кислотоупорные полы с уклонами к сливным карманам (СП 29.13330); (3) электролитное отделение (баки, узлы реагентов, кислотные линии) — поддоны на 100 % объёма наибольшей ёмкости (для циркбака — 300 м³); (4) зона КСМ — химстойкий пол с трапами, промывные воды в оборот.</w:t>
      </w:r>
    </w:p>
    <w:p>
      <w:r>
        <w:rPr>
          <w:sz w:val="20"/>
        </w:rPr>
        <w:t xml:space="preserve">КОНСТРУКЦИЯ ЗАЩИТЫ — принцип двух барьеров: первичная защита — бетоны повышенной плотности и водонепроницаемости по СП 28.13330; вторичная — непроницаемый подслой (химстойкая полимерная мембрана/оклеечная изоляция) + износостойкий верхний слой: кислотоупорная керамическая плитка по ГОСТ 961-89 на химстойких замазках (тип «Арзамит») в зонах механических воздействий (проезды, зоны опирания рам), монолитные винилэфирные покрытия — в проходах; швы, примыкания и сопряжения с фундаментами ванн и зумпфами — с непрерывностью мембраны; термостойкость материалов: до 50 °С по электролиту, у КСМ — до 90–115 °С (промвода II ступени). Металлоконструкции (площадки, стойки коллекторов, ограждения) — 316L/стеклопластик либо углеродистая сталь с системой химстойких покрытий для сильноагрессивной среды по СП 28.13330. Производство и приёмка работ по защите — СП 72.13330.2016 (пооперационные акты на скрытые слои).</w:t>
      </w:r>
    </w:p>
    <w:p>
      <w:r>
        <w:rPr>
          <w:sz w:val="20"/>
        </w:rPr>
        <w:t xml:space="preserve">ЭЛЕКТРОКОРРОЗИЯ И ИЗОЛЯЦИЯ: постоянный ток серий 42,45 кА — источник блуждающих токов через проливы и конструкции; мероприятия: двухступенчатая электроизоляция опор ванн (ванна—тумба, тумба—фундамент; прил. В), электрические разрывы трубопроводов на подаче/приёме (ПУЭ 7.10), изолирующие стыки закладных рельсов нутча, периодический контроль сопротивления изоляции ванн и серий; мероприятия по секционированию арматурных сеток подванной плиты и контролю потенциалов — определяются на стадии БИ совместно со строительным разделом.</w:t>
      </w:r>
    </w:p>
    <w:p>
      <w:r>
        <w:rPr>
          <w:sz w:val="20"/>
        </w:rPr>
        <w:t xml:space="preserve">ОБЪЁМЫ ДЛЯ ОЦЕНКИ (сценарий Б): полы зала 36 × 190 = 6840 м² + электролитный пристрой 24 × 42 = 1008 м², итого ≈ 7,8 тыс. м² защищаемых полов (плюс зумпфы, карманы, фундаменты ванн и поддоны баков) — ведомость объёмов защиты формируется в БИ по зонированию.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Среда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СП 28.13330.2017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Схема защиты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барьера: мембрана + плитка ГОСТ 961-89 на замазках / винилэфирные покрытия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(задание строительному разделу)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Поддоны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объёма наибольшей ёмкости; пол-поддон под рядами ванн; уклоны к зумпфам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СП 29.13330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Электроизоляция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двухступенчатая изоляция опор; разрывы трубопроводов; изолирующие стыки рельсов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В, п. 4.2.2;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защиты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≈7,8 тыс. м² полов (6840 + 1008) + зумпфы/фундаменты/поддоны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габаритов нового корпуса — 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28.13330.2017 — Защита строительных конструкций от коррозии — классификация среды, первичная/вторичная защита; СП 29.13330.2011 — Полы: уклоны, зумпфы, химстойкие покрытия; ГОСТ 961-89 — Плитки кислотоупорные и термокислотоупорные керамические; СП 72.13330.2016 — Производство и приёмка работ по антикоррозионной защите (скрытые слои); ПУЭ (изд. 7), разд. 7.10 — Изоляция ванн от строительных конструкций, контроль блуждающих токов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проливов и высота защиты колонн/стен по зонам — разрабатывается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конкретной системы покрытий — по испытаниям образцов в рабочем электролите (50 °С)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Мероприятия по блуждающим токам в арматуре подванной плиты (секционирование, контроль потенциалов) — совместно со строительным разделом</w:t>
      </w:r>
    </w:p>
    <w:p>
      <w:pPr>
        <w:pStyle w:val="Heading2"/>
      </w:pPr>
      <w:r>
        <w:rPr>
          <w:b/>
          <w:sz w:val="26"/>
        </w:rPr>
        <w:t xml:space="preserve">АСУ отделения с прикладным программным обеспечением</w:t>
      </w:r>
    </w:p>
    <w:p>
      <w:r>
        <w:rPr>
          <w:sz w:val="20"/>
        </w:rPr>
        <w:t xml:space="preserve">НАЗНАЧЕНИЕ И ОБЪЁМ. По ТЗ п. 5.5 в стоимость Лота №3 входит АСУ с прикладным ПО для управления процессом электроэкстракции (нагрузки, шунтирование, потоки, параметры) и специальными автоматическими кранами электролизного зала. Архитектура — трёхуровневая по Приложению №5 («Базовые требования… пл. Мончегорск»): нижний уровень — датчики и ИМ из линеек, применяемых на КГМК (согласование с Заказчиком); средний — ПЛК российских производителей (Прософт-Системы REGUL RX00 или Инкомсистем АБАК) с гальванической развязкой всех каналов AI/AO/DI/DO и цифровых (кроме Ethernet), запасом ≥ 30 % по модулям и посадочным местам, модули с защитным покрытием; верхний — SCADA AlphaScada (АО «Атомик Софт») на ОС Linux, горячее резервирование, безвентиляторные АРМ (≤ 2 мониторов). Сети — Industrial Ethernet (IEEE 802.3) TCP/IP; полевые протоколы 4–20 мА и Modbus; мониторинг всей инфраструктуры по SNMP. Электропитание АСУ — I категория (серверы — I «особая» с ИБП двойного преобразования ≥ 10 мин и байпасом); шкафы IP65 с козырьками, избыточным давлением очищенного воздуха, вне помещений электроустановок; кабельные трассы из композитных материалов (RAL 5015), срок службы ≥ 10 лет, экранирование и разнос от силовых. Всё ПО и оборудование АСУ — российской разработки/производства; отступления согласуются с Заказчиком. Интеграция с ОАСУ/единой диспетчерской комплекса — обязательна (ТЗ п. 2.10: все переделы в одной информационно-управляющей системе).</w:t>
      </w:r>
    </w:p>
    <w:p>
      <w:r>
        <w:rPr>
          <w:sz w:val="20"/>
        </w:rPr>
        <w:t xml:space="preserve">ПРИКЛАДНЫЕ ФУНКЦИИ УПРАВЛЕНИЯ ПРОЦЕССОМ:
1) Управление токовыми нагрузками: формирование задания выпрямителям (интерфейс к смежной системе питания) от плана-задания по металлу и состояния серий; интеграторы А·ч по сериям; расчёт теоретической массы осадка по каждой ванне (закон Фарадея с текущим η) и «программы графика наращивания» с обнулением веса после выгрузки; ограничения 47 кА / 225 В; ведение фактического выхода по току по данным весового контроля пакетов КСМ.
2) График выгрузки: автоматическое планирование очерёдности ванн от плана-задания и токовой нагрузки (ТЗ п. 5.3) — очередь передаётся крану; балансировка так, чтобы единовременно в серии отсутствовало не более 1/3 катодов одной ванны (плотность тока на оставшихся ≤ 420 А/м²).
3) Управление шунтированием: реестр установленных закорачивающих рам, программные блокировки (запрет подъёма тока при установке/снятии рамы, контроль последовательности операций чистки), контроль напряжения шунтируемой ванны.
4) Управление потоками и параметрами: контуры FIC/TIC/LIC/QIC (раздел P&amp;ID), балансовые расчёты контура циркуляции, съёма меди, дозирования по А·ч.
5) ИК-контроль коротких замыканий: тепловизионная система на кране (рекомендация ИД п. 4.2.2 — ИК-датчики контроля контактного хозяйства и КЗ) + милливольтовый мониторинг ванн; автоматическое формирование карты КЗ с заданием оператору/крану на устранение; журналирование и статистика по ваннам и матрицам.
6) Электронный реестр парка матриц: сквозная идентификация каждой матрицы, статусы (в ванне/в ремонте/брак), привязка результатов машинного зрения КСМ (повреждения обрамления, геометрии, чистоты поверхности), автоматический учёт отбраковки и подмены новыми/отремонтированными (ТЗ п. 5.3).</w:t>
      </w:r>
    </w:p>
    <w:p>
      <w:r>
        <w:rPr>
          <w:sz w:val="20"/>
        </w:rPr>
        <w:t xml:space="preserve">ИНТЕГРАЦИЯ С КСМ И СПЕЦКРАНАМИ. КСМ — комплектная система управления (ПЛК + роботы; в референсе Outotec — KUKA KR300/KR180) подключается в сеть АСУТП (требование Прил. №5 ко всему комплектному оборудованию); информационная система КСМ формирует партии продукции со стандартизированной сопроводительной документацией и передаёт данные весового контроля, пробоотбора и реестра матриц на верхний уровень и в СГП (Лот №4 — стыковка по выходному конвейеру). Спецкраны — автоматический и ручной режимы, система позиционирования над ваннами (установочные конусы на ваннах — прил. В), сценарий выгрузки: выход на позицию → снятие крышки («матрёшкой» на соседнюю или на грузозахват) → 3 цикла по 1/3 матриц с выдержкой на стекание → возврат «раздетых» матриц → установка крышки → обнуление веса ванны в графике наращивания → переход к следующей ванне (ТЗ п. 5.3). Безопасность: зоны работы кранов и блокировки перекрёстных операций, аварийные тросовые выключатели КСМ, квитируемая сигнализация (Прил. №5).</w:t>
      </w:r>
    </w:p>
    <w:p>
      <w:r>
        <w:rPr>
          <w:sz w:val="20"/>
        </w:rPr>
        <w:t xml:space="preserve">ППО И ДОКУМЕНТАЦИЯ. Передача исходных кодов ППО контроллеров и визуализации с комментариями (рус./англ.) и исключительных прав, описание косвенной адресации, методика восстановления после сбоя (Прил. №5); документация по М ГК НН IT.1.8-2025 и М ГК НН IT.1.11-2024; рабочая документация по ГОСТ 21.408-2013 и СТО 51246464-016-2015; перечни сигналов AI/AO/DI/DO/Modbus, полный перечень блокировок с уставками; ЗИП АСУТП/КИП на 2 года (≥ 10 %, ≥ 1 шт. каждого наименования). Метрология — 102-ФЗ, ГОСТ Р 8.596-2002, ГОСТ 8.417-2024.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Архитектура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уровня: КИП КГМК-линеек → ПЛК REGUL RX00/АБАК → SCADA AlphaScada (Linux),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 (brief)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Сети/сигналы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Industrial Ethernet TCP/IP; 4–20 мА, Modbus; SNMP-мониторинг; развязка всех каналов; запас 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Прикладные функции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нагрузки/А·ч, график выгрузки от плана-задания и тока, шунтирование, потоки, ИК-карта КЗ, реестр матриц с машинным зрением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5.3, 5.5;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категория; серверы — I особая, ИБП ≥ 10 мин с байпасом; шкафы IP65 с подпором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ПУЭ п. 1.2.17–1.2.21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 + исключительные права; документация М ГК НН IT.1.8-2025; ЗИП 2 года ≥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Состав и правила оформления РД автоматизации; ГОСТ Р 8.596-2002; ГОСТ 8.417-2024; 102-ФЗ — Метрологическое обеспечение измерительных каналов АСУ; ГОСТ IEC 61439-1-2013 — НКУ распределения и управления (шкафы АСУ); ГОСТ 12.2.007.0-75; ГОСТ 12.1.030-81 — Электробезопасность изделий; защитное заземление; СТО 51246464-016-2015; М ГК НН IT.1.8-2025; М ГК НН IT.1.11-2024 — Корпоративные методики НН по документированию и единым техтребованиям АСУТП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Разграничение функций АСУ Лота №3 и системы управления выпрямителями (вне БИ): протокол обмена, кто ведёт ограничения тока — зафиксировать в задании на стыке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 тепловизионного контроля КЗ (на кране / стационарные точки / обход) — вариантная проработка с ТЭО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Идентификация матриц (лазерная маркировка / RFID в штанге) — согласовать с поставщиком КСМ и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интеграции с ХТД PIMS и весовым учётом (АИС) — по Прил. №5 на стадии рабочего проектирования</w:t>
      </w:r>
    </w:p>
    <w:p>
      <w:pPr>
        <w:pStyle w:val="Heading2"/>
      </w:pPr>
      <w:r>
        <w:rPr>
          <w:b/>
          <w:sz w:val="26"/>
        </w:rPr>
        <w:t xml:space="preserve">Требования к монтажу и веса тяжёлых частей</w:t>
      </w:r>
    </w:p>
    <w:p>
      <w:r>
        <w:rPr>
          <w:sz w:val="20"/>
        </w:rPr>
        <w:t xml:space="preserve">ОСОБЕННОСТЬ (резервный сценарий А) — монтаж в существующем корпусе: до начала работ выполняются демонтаж оборудования прежнего электрорафинирования, обследование и ремонт строительных конструкций, устройство кислотоупорных полов с поддонами и зумпфами, подванных каналов и рельсов нутч-фильтра. Последовательность монтажа: восстановление/модернизация мостовых кранов (либо монтаж новых) → подача и выверка ванн рядами от торца КСМ к торцу выпрямителей → опорные тумбы с электроизоляцией и антисейсмическими упорами → коллекторы и сливные лотки → ошиновка с изоляторами → колпаки и бортовые отсосы → КСМ крупноблочно → циркбаки (возможна сборка/футеровка по месту — ИД п. 4.2.2 допускает изготовление корпусов из бетона по месту) → узлы реагентов → КИПиА и АСУ.</w:t>
      </w:r>
    </w:p>
    <w:p>
      <w:r>
        <w:rPr>
          <w:sz w:val="20"/>
        </w:rPr>
        <w:t xml:space="preserve">ВЕСА НАИБОЛЕЕ ТЯЖЁЛЫХ МОНТАЖНЫХ ЕДИНИЦ (по прил. В и расчёту; окончательно — по паспортам поставщиков с указанием самой тяжёлой неразъёмной части, требование прил. В к комплекту поставки): электролизная ванна — монолитный полимербетонный корпус 8,7 т, габарит ≈8,8 × 1,5 × 1,8 м (с рёбрами/фланцами) — самая массовая серийная единица (180 шт.); закорачивающая рама 8,7 т; сборка подъёмной и закорачивающей рам 10,0 т; комплект матриц одной ванны 84 шт. ≈ 4,2–4,6 т (по ≈50–55 кг без осадка; с осадком 11,6 т — эксплуатационная, не монтажная); комплект анодов 5,5 т (85 шт. по 65 кг); мост спецкрана — по данным поставщика (существующие краны — модернизация); станция сдирки КСМ — самый тяжёлый блок КСМ, масса по данным поставщика (референс Outotec — рама из тяжёлого стального проката); циркуляционный бак 300 м³ — при заводской поставке секциями либо изготовлении по месту (масса пустого индикативно 25–40 т в стальном исполнении — уточняется при выборе конструктива). Транспортировка ванн — спецтранспортом через монтажные проёмы торца зала; подъём — траверсой за штатные строповочные точки (исключить перекос — полимербетон чувствителен к сосредоточенным ударным нагрузкам).</w:t>
      </w:r>
    </w:p>
    <w:p>
      <w:r>
        <w:rPr>
          <w:sz w:val="20"/>
        </w:rPr>
        <w:t xml:space="preserve">ТРЕБОВАНИЯ К ТОЧНОСТИ И ИСПЫТАНИЯМ. Выверка ванн по высоте и соосности ряда — жёсткая: перепад отметок бортов смежных ванн влияет на контакт сборных шин и равномерность токораспределения (допуски — по инструкции поставщика ванн/ошиновки; ориентир ± 2 мм на ванну, подтверждается в БИ); геометрия установочных конусов позиционирования крана — по шаблону поставщика кранов. Испытания: гидроиспытание каждой ванны водой с выдержкой (герметичность, прогибы в поле допуска — прил. В требует МКЭ-проверку конструкции); проверка электроизоляции ванн и трубопроводных разрывов до заливки электролита (ПУЭ 7.10); поэлементная и комплексная наладка КСМ и кранов на «холодных» матрицах; ПНР АСУ по программе и методике испытаний. Шеф-монтаж и ПНР поставщиков — в объёме поставки (прил. В, п. 17). Монтаж электротехнической части — по ПУЭ и ПТЭЭП; работы в действующем цехе при поэтапном вводе серий — по нарядам-допускам (приказ Минтруда № 903н), демаркация зон по СТП СУОТ и ПБ КГМК (прил. В, п. 8.2).</w:t>
      </w:r>
    </w:p>
    <w:p>
      <w:r>
        <w:rPr>
          <w:sz w:val="20"/>
        </w:rPr>
        <w:t xml:space="preserve">ГЕОМЕТРИЯ РЯДОВ И МОНТАЖ ОШИНОВКИ. Ряд — 45 ванн с шагом 1,40 м (межванновый зазор 85 мм под сборные шины и деформационные швы); длина ряда 62,9 м; разбивка — от двух монтажных баз (продольная ось ряда и торцевая база серии) с компенсацией накопления допусков шага в поле деформационных зазоров (разбивочная схема — по инструкции поставщика ванн/ошиновки). Последовательность узла: опорные тумбы с двухступенчатой изоляцией → выверка высот (борта смежных ванн в поле ± ≈2 мм) → установка и закрепление ванн с антисейсмическими упорами → межванновые сборные шины с двойным контактом (медь, референс Outotec) → концевые шинные мосты серий. Критерий качества контактного монтажа — падение напряжения в межванновой ошиновке не выше проектных 0,06 В/ванну при рабочем токе (проверка милливольтовым обмером на этапе вывода на ток; рост падения — признак деградации контакта). Сечение сборных шин задаёт поставщик ошиновки из допустимой плотности тока и падения 0,06 В (ориентир для меди ≈1 А/мм², т.е. ≈42–47 тыс. мм² на ток 42,45–47,04 кА); соединения — с контролем момента затяжки и микроомметрией. Сопротивление изоляции смонтированной серии — контроль до заливки электролита (ПУЭ 7.10).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(монтажная единица)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Рамы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закорачивающая 8,7 т; сборка рам 10,0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Комплекты электродов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5,5 т/ванну; матрицы ≈4,2–4,6 т/ванну (без осадка)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Выверка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отметки бортов смежных ванн ± ≈2 мм (уточняется поставщиком ошиновки)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гидроиспытания ванн, контроль изоляции и разрывов, МКЭ-подтверждение, комплексные ПНР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Ошиновка ряда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шаг 1,40 м, зазор 85 мм; двойной контакт; ≤ 0,06 В/ванну; сечение ≈42–47 тыс. мм² (ориентир 1 А/мм²)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декларации/сертификаты на поставляемое; ГОСТ 15846-2002 — Упаковка и транспортирование в районы Крайнего Севера; Приказ Минтруда № 903н от 15.12.2020 (ПОТЭЭ) — Организация безопасных работ в электроустановках при монтаже/ПНР; СП 77.13330 / СП 76.13330 — Системы автоматизации и электротехнические устройства — производство и приёмка монтажных работ (номера редакций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габариты самых тяжёлых неразъёмных частей КСМ, кранов, циркбаков — по паспортам выбранных поставщиков (обязательное поле опросных листов)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Логистика подачи ванн в зал (монтажные проёмы, такелажные схемы) — ППР монтажной организации на базе компоновки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Поэтапность: возможность пуска серии 1 при продолжении монтажа серии 2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Разбивочная схема ряда и допуск накопления шага 1,40 м — по инструкции поставщика ошиновки/ванн (внести в опросные листы)</w:t>
      </w:r>
    </w:p>
    <w:p>
      <w:pPr>
        <w:pStyle w:val="Heading2"/>
      </w:pPr>
      <w:r>
        <w:rPr>
          <w:b/>
          <w:sz w:val="26"/>
        </w:rPr>
        <w:t xml:space="preserve">Требования к испытаниям и приёмке; ПНР: первое заполнение и вывод на ток</w:t>
      </w:r>
    </w:p>
    <w:p>
      <w:r>
        <w:rPr>
          <w:sz w:val="20"/>
        </w:rPr>
        <w:t xml:space="preserve">ЗАВОДСКИЕ И ПРИЁМО-СДАТОЧНЫЕ ИСПЫТАНИЯ: ванны — гидроиспытание водой у изготовителя и повторно по месту с контролем прогибов (конструкция подтверждается МКЭ-расчётом — прил. В), контроль геометрии посадочных мест электродов и установочных конусов позиционирования; КСМ — FAT у изготовителя с прогоном полного цикла на «холодных» матрицах, подтверждение производительности 120 матриц/ч и точности позиционирования до 1 мм; спецкраны — полное техническое освидетельствование по ФНП № 461 (статические испытания с грузом 125 % грузоподъёмности, динамические — 110 %); ошиновка — микроомметрия контактных соединений (нормы — по ТУ поставщика).</w:t>
      </w:r>
    </w:p>
    <w:p>
      <w:r>
        <w:rPr>
          <w:sz w:val="20"/>
        </w:rPr>
        <w:t xml:space="preserve">ИНДИВИДУАЛЬНЫЕ ИСПЫТАНИЯ И НАЛАДКА: трубопроводы — гидравлические испытания и промывка; ёмкости — испытание наливом; электроизоляция каждой ванны, серии и электрических разрывов — ДО заливки электролита (ПУЭ 7.10; нормы сопротивления — по инструкции поставщика, фиксируются в программе и методике испытаний); АСУ — автономная наладка с имитацией всех блокировок по перечню уставок P&amp;ID; краны и КСМ — комплексная холодная обкатка сценария выгрузки (3 × 1/3 матриц) с контролем очереди от АСУ.</w:t>
      </w:r>
    </w:p>
    <w:p>
      <w:r>
        <w:rPr>
          <w:sz w:val="20"/>
        </w:rPr>
        <w:t xml:space="preserve">ПЕРВОЕ ЗАПОЛНЕНИЕ (пуск серия за серией): потребный объём электролита на серию — ванны 90 × 12,4 м³ = 1116 м³ + циркуляционный бак 0,85 × 300 = 255 м³ + трубопроводы и холодильник, итого ≈ 1,4 тыс. м³; на отделение ≈ 2,8 тыс. м³. Стартовый электролит нарабатывается из богатого фильтрата ГМУ с корректировкой H2SO4 до 112–120 кг/м³ — готовность выщелачивания и контрольной фильтрации к наработке является критическим интерфейсом пуска (график согласуется с ГМУ). Заполнение только подогретым раствором 45–50 °С (запрет подачи ниже 40 °С — порог кристаллизации сульфатов 30–40 °С по ИД п. 4.2.1); последовательность: бак → циркуляция по байпасу с выходом на 50 °С → пованнное заполнение с контролем герметичности, работы переливов и изоляции «под раствором» → выход на расход 800–825 м³/ч на серию.</w:t>
      </w:r>
    </w:p>
    <w:p>
      <w:r>
        <w:rPr>
          <w:sz w:val="20"/>
        </w:rPr>
        <w:t xml:space="preserve">ВЫВОД НА ТОК: предварительное формирование анодов — режим формирования устойчивой оксидной плёнки PbO2 по программе поставщика анодов (до её получения — позиция открыта); набор тока — ступенями от дежурного уровня до рабочего 42,45 кА с ограничением скорости (функция JIC-08), контроль напряжений всех 90 ванн серии (выявление КЗ и обрывов контактов на малом токе), температуры и газовыделения. Перерывы тока работающей серии — не более 2 ч (риск деградации анодов; основание требования I категории электроснабжения). Первые циклы наращивания 6–7 сут — опытный подбор дозировок гуартека и аналога FC-1100, первый съём на КСМ в наладочном темпе с контролем качества поверхности катодов и SPLIT-разделения без сращивания кромки.</w:t>
      </w:r>
    </w:p>
    <w:p>
      <w:r>
        <w:rPr>
          <w:sz w:val="20"/>
        </w:rPr>
        <w:t xml:space="preserve">КОМПЛЕКСНОЕ ОПРОБОВАНИЕ: 72 ч непрерывной работы серии на проектной нагрузке с фиксацией ТЭП (СП 68.13330).</w:t>
      </w:r>
    </w:p>
    <w:p>
      <w:r>
        <w:rPr>
          <w:sz w:val="20"/>
        </w:rPr>
        <w:t xml:space="preserve">ГАРАНТИЙНЫЕ ИСПЫТАНИЯ (методика — в составе БИ; измерительная база — весовой контроль пакетов КСМ и интеграторы А·ч АСУ): мощность оборудования 75 000 т/год (подтверждение прогоном при 280 А/м²) и годовой выпуск при сырье по ИД 69,3 тыс. т ± 1 % — гарантируются двумя раздельными строками (сырьё покрывает ≈93,7 % номинала — сквозной баланс меди, расчётная записка КВАНТ); удельный расход электроэнергии ≤ 2050 кВт·ч/т на шинах ванн (расчётный 1942); выход по току ≥ 88 % (расчётный ≈89 %; повышение планки — после письменного подтверждения η Гипроникелем); качество М00к по ГОСТ 859-2014 — условная гарантия при порогах примесей богатого раствора по ИД табл. 1.1/5.8; КИО ванн ≥ 97 % в первый год освоения (проектный 98 %).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№ 461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Первое заполнение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≈1,4 тыс. м³ на серию (1116 + 255 + трубопроводы); только 45–50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прил. В; ИД п.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Вывод на ток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формирование анодов по программе поставщика; ступенчатый набор до 42,45 кА; перерывы ≤ 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 EL-TOTAL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Комплексное опробование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 ч на проектной нагрузке с фиксацией ТЭП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68.13330.2017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мощность 75 тыс. т/год и выпуск 69,3 тыс. т ± 1 % раздельно; w ≤ 2050 кВт·ч/т; η ≥ 88 %; КИО ≥ 97 %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гарантийная рамка расчётной записки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(приказ Ростехнадзора № 461 от 26.11.2020) — Техническое освидетельствование и испытания подъёмных сооружений; СП 68.13330.2017 — Приёмка в эксплуатацию: комплексное опробование 72 ч; ПУЭ (изд. 7), разд. 7.10 — Контроль изоляции ванн и разрывов до заливки и в эксплуатации; ГОСТ 859-2014 — Подтверждение качества катодов при гарантийных испытаниях; СП 77.13330 / СП 76.13330 — ПНР систем автоматизации и электротехнических устройств (редакции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формирования анодной плёнки PbO2 (ток/время/состав) — запрашивается у поставщика анодов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сопротивления изоляции ванны/серии — по инструкции поставщика ванн и ошиновки, внести в ПМИ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гарантийных испытаний с раздельными строками «мощность/выпуск» — согласовать с Заказчиком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наработки стартового электролита (~2,8 тыс. м³) и готовность ГМУ — совместный план-график пуска</w:t>
      </w:r>
    </w:p>
    <w:p>
      <w:pPr>
        <w:pStyle w:val="Heading2"/>
      </w:pPr>
      <w:r>
        <w:rPr>
          <w:b/>
          <w:sz w:val="26"/>
        </w:rPr>
        <w:t xml:space="preserve">Спецификация оборудования, опросные листы, исходные требования на оборудование длительного цикла изготовления</w:t>
      </w:r>
    </w:p>
    <w:p>
      <w:r>
        <w:rPr>
          <w:sz w:val="20"/>
        </w:rPr>
        <w:t xml:space="preserve">СПЕЦИФИКАЦИЯ ОБОРУДОВАНИЯ (состав v4.1: технические характеристики, габариты, масса, энергопотребление) — ведомость по каждой позиции перечня с привязкой к PFD и компоновке. Массы серийных позиций для логистики и монтажа: ванны 180 × 8,7 т = 1566 т; аноды 15 300 × 65 кг ≈ 995 т; матрицы 15 120 × 50–55 кг ≈ 756–832 т — только три позиции дают ≈ 3,3–3,4 тыс. т поставки в Мончегорск (упаковка и транспортирование в районы Крайнего Севера — ГОСТ 15846); энергопотребление сводится в таблицу электроприёмников (раздел электроснабжения).</w:t>
      </w:r>
    </w:p>
    <w:p>
      <w:r>
        <w:rPr>
          <w:sz w:val="20"/>
        </w:rPr>
        <w:t xml:space="preserve">ОПРОСНЫЕ ЛИСТЫ — на основное оборудование (перечень фиксируется договором, см. раздел перечня оборудования): ванны (геометрия, МКЭ-протокол, точечные нагрузки по прил. В п. 15 с разложением X/Y/Z и коэффициентами, комплектность: коллектор подачи, закладные рельсов, конусы позиционирования); КСМ (производительность 120 матриц/ч, катодный шаг 95 мм — референсное значение 100 мм привести к фактическому, пакет 2500 ± 50 кг — привести от референса 1400–2000 кг, интерфейсы с АСУ и СГП); спецкраны (Q 16–20 т, режим ≥ А6/М7, позиционирование по конусам, ИК-контроль КЗ, масса моста и тележки для поверочного расчёта путей); ошиновка (ток 47,0 кА, двойной контакт, падение ≤ 0,06 В/ванну); матрицы (316L, SPLIT, ремонтопригодность обрамления); аноды (Pb–Ca–Sn холоднокатаные, программа формирования); укрытия с бортотсосом; циркуляционные баки; узлы реагентов; АСУ (КТС по Прил. №5). Обязательные поля каждого листа: масса самой тяжёлой неразъёмной части (требование прил. В к комплекту поставки), нагрузки статические/динамические, шеф-монтаж и ПНР в объёме поставки (прил. В п. 17), ЗИП на 2 года.</w:t>
      </w:r>
    </w:p>
    <w:p>
      <w:r>
        <w:rPr>
          <w:sz w:val="20"/>
        </w:rPr>
        <w:t xml:space="preserve">ОБОРУДОВАНИЕ ДЛИТЕЛЬНОГО ЦИКЛА ИЗГОТОВЛЕНИЯ (состав v4.1 «при наличии» — в Лоте №3 имеется): (1) электролизные ванны — серия 180 монолитных полимербетонных корпусов: цикл лимитируется оснасткой форм и темпом литья, темп поставки обязан опережать график монтажа рядов; (2) КСМ с роботами и (3) спецкраны — комплектные машины с длинной цепочкой комплектации; (4) парк матриц 15 120 шт. и анодов 15 300 шт. — прокат и сборка партиями к графику заполнения серий; (5) система милливольтового контроля и АСУ (закупка российских ПЛК/SCADA — по доступности). Сроки изготовления по всем позициям — по ТКП (в ИД не заданы); исходные требования на длинноцикловое выдаются в первой очереди поэтапной выдачи БИ (ТЗ «Прочие условия») для ранней контрактации Заказчиком. Справочно: выпрямители — вне лота, но также длинноцикловые; отметить Заказчику в реестре границ.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Массы поставки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ванны 1566 т + аноды ≈995 т + матрицы 756–832 т ≈ 3,3–3,4 тыс.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прил. В,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Опросные листы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групп основного оборудования; обязательные поля: тяжелейшая неразъёмная часть, нагрузки X/Y/Z, шеф-монтаж, ЗИП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 п. 15, 17;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Привести в листах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шаг 95 мм (не 100), пакет 2500 ± 50 кг (не 1400–2000)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требование сбыта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Длинноцикловое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требования на длинноцикловое — в первой очереди этапной выдачи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«Прочие условия» (поэтапная выдача)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15846-2002 — Упаковка и транспортирование в районы Крайнего Севера (≈3,4 тыс. т поставки); ТР ТС 010/2011 — Комплект документации и подтверждение соответствия машин; ГОСТ 5582-75 — Нержавеющий прокат (отечественный аналог 316L — 03Х17Н14М3) для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Сроки изготовления по позициям — по бюджетным ТКП (в ИД не заданы); критический путь — ванны и КСМ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Темп поставки ванн под график монтажа рядов (шт./мес) — согласовать с изготовителем и монтажной организацией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опросные листы — протокол с Заказчиком (граница объёма БИ)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в помещения (предварительные расчётные данные по аналогам)</w:t>
      </w:r>
    </w:p>
    <w:p>
      <w:r>
        <w:rPr>
          <w:sz w:val="20"/>
        </w:rPr>
        <w:t xml:space="preserve">Статус данных — «предварительные расчётные по аналогам» (редакция v4.1); подтверждение — по vendor data и при ПНР. Данные выдаются смежным разделам ОВиК и ВК (вне БИ).</w:t>
      </w:r>
    </w:p>
    <w:p>
      <w:r>
        <w:rPr>
          <w:sz w:val="20"/>
        </w:rPr>
        <w:t xml:space="preserve">ТЕПЛОВЫДЕЛЕНИЯ В ОБЪЁМ ЗАЛА. Баланс: полное джоулево тепловыделение серий ≈6,5 МВт, из них ≈3,77 МВт снимается холодильниками наружного контура, часть уносится аспирацией из-под колпаков (испарение с зеркала — доля определяется совместно с проектировщиком аспирации); в объём зала поступают: (а) теплоотдача наружных стенок ванн: боковая поверхность 2 × (8,645 + 1,315) × 1,8 = 35,9 м²/ванну; при температуре стенки ≤ 40 °С, воздуха +24 °С и суммарном коэффициенте теплоотдачи (конвекция + излучение) 10 Вт/(м²·К) (принято, уточняется в БИ): q = 35,9 × 16 × 10 ≈ 5,7 кВт/ванну; 180 ванн ≈ 1,0 МВт; (б) потери в межванновой ошиновке (открытые шины): 2 серии × 90 × 0,06 В × 42 450 А ≈ 0,46 МВт; (в) электроприводы и открытые горячие поверхности узла КСМ (промывка 60–115 °С) ≈ 0,1–0,15 МВт (по потребляемой мощности 105 кВт и остыванию промвод). ИТОГО в зал ≈ 1,5–1,6 МВт; удельно на площадь зала 6840 м² ≈ 230 Вт/м² — исходное для расчёта воздухообмена (температура в помещении +12…+24 °С по ИД, влажность &gt; 75 %).</w:t>
      </w:r>
    </w:p>
    <w:p>
      <w:r>
        <w:rPr>
          <w:sz w:val="20"/>
        </w:rPr>
        <w:t xml:space="preserve">ВЛАГОВЫДЕЛЕНИЯ: основное испарение — под колпаками, уносится аспирацией; в зал — при вскрытых ваннах (≈28 обслуживаний/сут по 3 подъёма 1/3 матриц) и с открытых зеркал зумпфов/карманов; количественная оценка — в БИ по графику вскрытий и площади открытых поверхностей.</w:t>
      </w:r>
    </w:p>
    <w:p>
      <w:r>
        <w:rPr>
          <w:sz w:val="20"/>
        </w:rPr>
        <w:t xml:space="preserve">ВЫДЕЛЕНИЯ ВРЕДНОСТЕЙ: аэрозоль серной кислоты — целевой уровень в воздухе рабочей зоны &lt; 0,2 мг/м³ (при ПДК 1 мг/м³ по ГОСТ 12.1.005) обеспечивается тремя барьерами: пенообразующая добавка (FC-1100/аналог), колпаки с бортотсосом (недостижение точки росы под колпаком), общеобменная вентиляция повышенной кратности (вне БИ); аэрозоль уносит соли Cu (ПДК 0,5 мг/м³) и Ni (ПДК 0,005 мг/м³ — лимитирующая вредность зала). Интенсивности выделений (г/ч на ванну закрытую/вскрытую) — расчёт БИ после фиксации расхода аспирации; до этого смежному разделу выдаются целевые концентрации и перечень контролируемых веществ. Контроль воздуха рабочей зоны — стационарные посты в зоне рядов и у КСМ + переносной контроль (программа производственного контроля — на стадии ОТР).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 в зал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≈1,5–1,6 МВт (стенки ванн ≈1,0 + ошиновка ≈0,46 + КСМ ≈0,1–0,15); ≈230 Вт/м²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(допущения показаны);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Условия в зале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+12…+24 °С; влажность &gt; 75 %; стенка ванны ≤ 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Аэрозоль H2SO4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цель &lt; 0,2 мг/м³ (ПДК 1 мг/м³); барьеры: добавка + колпаки + вентиляция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Лимитирующая вредность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соли Ni: ПДК 0,005 мг/м³ (аэрозоль электролита содержит 20 кг/м³ Ni)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Влага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испарение под колпаки → аспирация; в зал — от ≈28 вскрытий/сут (оценка в БИ)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графика обслуживания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12.1.005-88 — ПДК рабочей зоны: H2SO4 1; Cu 0,5; соли Ni 0,005 мг/м³; СанПиН 1.2.3685-21 — Гигиенические нормативы микроклимата и воздуха рабочей зоны; СП 60.13330.2020 — ОВиК — использование выдаваемых тепло-/влаго-/газовыделений смежным разделом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аспирации от ванны (закрытой/вскрытой) — совместное определение со смежным проектировщиком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Интенсивности выделений H2SO4/Cu/Ni в г/ч — расчёт БИ после фиксации аспирации; подтверждение замерами при ПНР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коэффициент теплоотдачи и температуры стенок ванн — подтверждение тепловизионным обследованием при ПНР</w:t>
      </w:r>
    </w:p>
    <w:p>
      <w:pPr>
        <w:pStyle w:val="Heading2"/>
      </w:pPr>
      <w:r>
        <w:rPr>
          <w:b/>
          <w:sz w:val="26"/>
        </w:rPr>
        <w:t xml:space="preserve">Данные для раздела ОВОС (по балансам отделения)</w:t>
      </w:r>
    </w:p>
    <w:p>
      <w:r>
        <w:rPr>
          <w:sz w:val="20"/>
        </w:rPr>
        <w:t xml:space="preserve">Статус — предварительные расчётные данные для раздела ОВОС проектной документации (подход, принятый v4.1 для выбросов: «расчётно, предварительно»; гарантийные значения — по данным изготовителей газоочистного оборудования на детальном этапе).</w:t>
      </w:r>
    </w:p>
    <w:p>
      <w:r>
        <w:rPr>
          <w:sz w:val="20"/>
        </w:rPr>
        <w:t xml:space="preserve">ВЫБРОСЫ В АТМОСФЕРУ. Организованный источник отделения — выхлоп системы аспирации ванн после мокрой очистки (скруббер; сама система вне БИ): 180 точек отсоса, загрязнитель — аэрозоль электролита (H2SO4 с растворёнными Cu 35–40, Ni 20 кг/м³); количественные показатели до/после очистки — расчёт после фиксации расхода аспирации и КПД скруббера по аналогам (задание на стыке). Неорганизованные выбросы — выброс общеобменной вентиляции зала: при целевой концентрации в воздухе &lt; 0,2 мг/м³ H2SO4 масса выброса пропорциональна воздухообмену (определяется ОВиК, вне БИ) — данные передаются в ОВОС после расчёта воздухообмена.</w:t>
      </w:r>
    </w:p>
    <w:p>
      <w:r>
        <w:rPr>
          <w:sz w:val="20"/>
        </w:rPr>
        <w:t xml:space="preserve">СБРОСЫ. Прямых сбросов в водные объекты от отделения нет: контур растворов замкнут на ГМУ — промывные воды КСМ и аспирации и зумпфовые воды возвращаются в циркуляционные баки; «грязная» вода КСМ (Cu ≥ 1,6 г/л, H2SO4 ≥ 2 г/л) направляется в ГМО; фильтрат и промводы шламового узла — в репульпатор поз. 4.1.21 ГМУ. Продувка оборотной СОВ — общеплощадочная система (вне БИ).</w:t>
      </w:r>
    </w:p>
    <w:p>
      <w:r>
        <w:rPr>
          <w:sz w:val="20"/>
        </w:rPr>
        <w:t xml:space="preserve">ОТХОДЫ (годовые, на расчётный выпуск ≈69,25 тыс. т): свинцовый шлам ванн — 25,9–30 т сух./год (Pb ≈ 50 %, влажность отмытого 20–30 %) — накопление в закрытой таре на площадке с химстойким покрытием, передача специализированной организации совместно с отработанными анодами; отработанные аноды — 2300 шт./год × 65 кг ≈ 149,5 т/год свинцового сплава (возвратное сырьё для переплавки); отбракованные матрицы — до 1150 шт./год × 50–55 кг ≈ 58–63 т/год (фактический лом меньше — часть возвращается в строй после ремонта обрамления, учёт в электронном реестре); отработанный ПП-профиль обрамления — до 2,77 т/год; тара реагентов (гуартек 17,3 т/год, аналог FC-1100 13,8 т/год — упаковка по данным поставщиков). Классы опасности отходов — паспортизация на стадии ОТР/ПД.</w:t>
      </w:r>
    </w:p>
    <w:p>
      <w:r>
        <w:rPr>
          <w:sz w:val="20"/>
        </w:rPr>
        <w:t xml:space="preserve">ФИЗИЧЕСКИЕ ФАКТОРЫ: шум — станция сдирки КСМ (прокатка/надрыв), краны, насосные (вне БИ) — уровни по паспортам поставщиков к расчёту акустики; постоянное магнитное поле ошиновки серий 42–47 кА — уровни на рабочих местах вдоль рядов рассчитываются в БИ, нормирование по СанПиН 1.2.3685-21.</w:t>
      </w:r>
    </w:p>
    <w:p>
      <w:r>
        <w:rPr>
          <w:sz w:val="20"/>
        </w:rPr>
        <w:t xml:space="preserve">РЕСУРСНАЯ ЭФФЕКТИВНОСТЬ (для материалов ОВОС): процесс регенерирует серную кислоту — ≈12,4 т/ч H2SO4 возвращается с оборотным раствором на выщелачивание; потребление свежей кислоты — только корректировочные 2719 т/год; водопотребление минимизировано оборотными схемами промывки КСМ (25 из 29 м³/ч — оборот).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организованный источник (выхлоп аспирации, вне БИ) — данные до/после очистки расчётно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5.2.4; подход «предварительно, расчётно, по аналогам» (v4.1)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прямых нет — контур замкнут на ГМУ/ГМО; фильтрат шлама → поз. 4.1.21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Шлам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25,9–30 т сух./год, Pb ≈ 50 % — спецорганизация вместе с анодами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Металлолом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≈149,5 т/год (Pb-сплав, возврат); матрицы ≤ 58–63 т/год (316L, за вычетом ремонта)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табл. 8.5,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Регенерация кислоты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≈12,4 т/ч H2SO4 в оборот; свежая — только 2719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(98,08/63,55); 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Федеральный закон № 89-ФЗ — Обращение с отходами; паспортизация классов опасности; СанПиН 1.2.3685-21 — Нормативы для воздуха, шума, ЭМП на рабочих местах и границе СЗЗ; ГОСТ 12.1.005-88 — Перечень контролируемых веществ рабочей зоны для программы контроля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и состав выхлопа аспирации до/после скруббера — совместно со смежным проектировщиком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Паспортизация отходов (шлам, лом анодов/матриц, тара реагентов) — стадия ОТР/ПД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лома матриц с учётом доли ремонта обрамления — уточняется реестром парка на освоении</w:t>
      </w:r>
    </w:p>
    <w:p>
      <w:pPr>
        <w:pStyle w:val="Heading2"/>
      </w:pPr>
      <w:r>
        <w:rPr>
          <w:b/>
          <w:sz w:val="26"/>
        </w:rPr>
        <w:t xml:space="preserve">Разграничение поставки и стыковка границ с позициями «вне БИ»</w:t>
      </w:r>
    </w:p>
    <w:p>
      <w:r>
        <w:rPr>
          <w:sz w:val="20"/>
        </w:rPr>
        <w:t xml:space="preserve">По ТЗ (в v4.1 границы Лота №3 — п. 6.2; в предыдущей редакции — п. 5.3) в состав БИ Лота №3 НЕ включаются: шины магистральные; выпрямители; напорный и сливной трубопроводы ванн; система аспирации от ванн и очистки аспирационных газов; циркуляционные насосы; грузоподъёмное оборудование (в части существующего парка); нутч-фильтр; оборудование обработки свинцового шлама и отработанных анодов; теплообменники. Чтобы на ОТР не возникло разрывов, БИ Лота №3 выдаёт по каждой позиции ЗАДАНИЕ НА СТЫКЕ (исходные требования смежному проектировщику/поставщику) и фиксирует физическую границу:</w:t>
      </w:r>
    </w:p>
    <w:p>
      <w:r>
        <w:rPr>
          <w:sz w:val="20"/>
        </w:rPr>
        <w:t xml:space="preserve">1) ВЫПРЯМИТЕЛИ И МАГИСТРАЛЬНЫЕ ШИНЫ: граница — контактные площадки концевых сборных шин первой/последней ванны серии. БИ выдаёт: ток 47,0 кА ном (42,45 кА эксплуатац.), напряжение 227/250 В, число агрегатов 3 (2 рабочих + резервный с перекрёстной ошиновкой), требования к стабилизации тока, пульсациям, реверсу для растворения дендритов (при необходимости), интерфейс АСУ (Modbus TCP, задание/ограничения/телеметрия), точки подключения у торца зала со стороны преобразовательной подстанции, падение напряжения в межванновой ошиновке 0,06 В/ванну.
2) НАПОРНЫЙ И СЛИВНОЙ ТРУБОПРОВОДЫ: граница по ТЗ 5.2.3 — фланец перелива каждой ванны (слив) и, зеркально, входной штуцер коллектора подачи ванны (коллектор подачи и его крепления — в комплекте ванн, прил. В). БИ выдаёт: расходы 800–825 м³/ч на серию (9,1 м³/ч на ванну), температуру 50 °С, среду (120 кг/м³ H2SO4), требование электрического разрыва на подаче/приёме, материал ПП/ПВДФ/футеровка, трассировку вдоль рядов.
3) ЦИРКУЛЯЦИОННЫЕ НАСОСЫ: БИ выдаёт: подача ≈820 м³/ч на серию (+резерв), напор из гидравлики контура (геодезия + холодильник + коллектор; расчёт в БИ), кислотостойкое исполнение, частотное регулирование от FIC-01, схема 2×100 % или 3×50 % на серию — предложение БИ, решение за смежным проектом.
4) ТЕПЛООБМЕННИКИ (холодильники электролита): БИ выдаёт тепловое задание: 2 × 2500 кВт, поток 817 м³/ч на нитку, 50 → 48,2 °С, вода 108 м³/ч 22,5 → 37,5 °С, пластинчатые, материал пластин 316L/титан (уточнить по хлоридам 30 мг/л), резерв поверхности на чистку от гипса, байпас.
5) АСПИРАЦИЯ: граница по ТЗ 5.2.4 — фланец аспирационного отсоса каждого укрытия. БИ выдаёт: число точек 180, требование недостижения точки росы под колпаком, промывку коллекторов, дросселирование вскрытой ванны, возврат стоков скруббера в циркуляцию, ориентировочный удельный отсос от ванны (определяется совместно; в ИД расход системы не задан — «определяется в составе проекта»).
6) ГРУЗОПОДЪЁМНОЕ ОБОРУДОВАНИЕ: спецкраны с позиционированием ВХОДЯТ в Лот №3 (ТЗ п. 5.3), но базовые мостовые краны — модернизация существующего парка ЦЭМ (ИД п. 4.2.2): БИ выдаёт задание на модернизацию (грузоподъёмность 16–20 т, коррозионностойкое исполнение 316L рабочих частей, автоматика позиционирования, ИК-контроль) и фиксирует границу «крюк/траверса — грузозахватные механизмы» в комплекте Лота №3.
7) НУТЧ-ФИЛЬТР И ОБРАБОТКА ШЛАМА: граница — донная пробка ванны (выгрузка шлама смывом) и площадка стационарной вакуум-станции. БИ выдаёт: рельсовый путь под ваннами (закладные в комплекте ванн), поток шлама 1,44 т/ванну, вода 2 м³/т 40–70 °С, отвод фильтрата в поз. 4.1.21 ГМУ.
8) ЭНЕРГОРЕСУРСЫ: сжатый воздух (граница 5.2.5 — фланец на стене цеха; потребители: пневматика КСМ 6 бар, арматура), вода/водоотведение (5.2.6 — по ТУ), электроэнергия (5.2.7 — по каждому виду оборудования при разработке БИ/ОТР по Приложению №3: сводная таблица электроприёмников, категории надёжности, пусковые токи, компенсация реактивной мощности, однолинейные схемы).</w:t>
      </w:r>
    </w:p>
    <w:p>
      <w:r>
        <w:rPr>
          <w:sz w:val="20"/>
        </w:rPr>
        <w:t xml:space="preserve">МЕХАНИЗМ УВЯЗКИ: реестр границ (interface register) с матрицей ответственности по каждому фланцу/клемме/сигналу; выдача исходных требований смежникам до начала ОТР (ТЗ п. 8: материалы БИ передаются поэтапно для старта ОТР); контрольные точки согласования — компоновка, гидравлика контура, энергобаланс, карта сигналов АСУ.</w:t>
      </w:r>
    </w:p>
    <w:p>
      <w:r>
        <w:rPr>
          <w:sz w:val="20"/>
        </w:rPr>
        <w:t xml:space="preserve">ПО ТЗ v4.1 (25.08.2026): вход в границы — «Раствор питания электролизных ванн ¦ Фланец патрубка подачи электролита в каждую электролизную ванну» (вместо ёмкости фильтрата в предыдущей редакции) — это подтверждает нашу схему заданий на стыке по подаче; сжатый воздух/вода/электроэнергия — «уточняется при разработке БИ и ОТР для каждого вида оборудования в поставке». Противоречие: циркуляционный бак остался в составе БИ, находясь выше границы — вынесено в наши предложения к документации.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задание: 3 × 47 кА / 227(250) В, резерв на любую серию, Modbus TCP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Трубопроводы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перелива каждой ванны (5.2.3) / штуцер коллектора подачи (коллектор в комплекте ванн)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Теплообменники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тепловое задание 2 × 2500 кВт; 50 → 48,2 °С; вода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Аспирация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отсоса каждого из 180 укрытий (5.2.4); расход — совместное определение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п. 4.1.2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Насосы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≈820 м³/ч на серию, частотное регулирование от FIC-01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Шлам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донная пробка ванны; рельсы нутча и закладные — в комплекте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4.1.2,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Объём сведений по электроснабжению/электрооборудованию с учётом согласованных границ; ПУЭ (изд. 7) — Категории надёжности, требования к сетям постоянного тока и электролизным установкам на стыках; ГОСТ 21.408-2013 — Оформление заданий и схем на границах систем автоматизации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Утверждение реестра границ Заказчиком и генпроектировщиком до старта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Удельный расход аспирации от ванны — совместный расчёт с проектировщиком аспирации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резервирования циркуляционных насосов (2×100 % / 3×50 %) — решение смежного проекта по заданию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промежуточного сборника фильтрата нутча (допущение ИД п. 4.1.2) — Лот №3 или ГМУ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Циркуляционный бак в составе Лота №3 при границе «фланец патрубка подачи каждой ванны» — оборудование выше границы; определить вход лота</w:t>
      </w:r>
    </w:p>
    <w:p>
      <w:pPr>
        <w:pStyle w:val="Heading2"/>
      </w:pPr>
      <w:r>
        <w:rPr>
          <w:b/>
          <w:sz w:val="26"/>
        </w:rPr>
        <w:t xml:space="preserve">Интерфейсы с другими лотами, ГМУ и общеплощадочными системами</w:t>
      </w:r>
    </w:p>
    <w:p>
      <w:r>
        <w:rPr>
          <w:sz w:val="20"/>
        </w:rPr>
        <w:t xml:space="preserve">Реестр межлотовых и межцеховых стыков (дополняет раздел границ «вне БИ», где заданы стыки с выпрямителями, трубопроводами, аспирацией, насосами, теплообменниками и шламовым узлом).</w:t>
      </w:r>
    </w:p>
    <w:p>
      <w:r>
        <w:rPr>
          <w:sz w:val="20"/>
        </w:rPr>
        <w:t xml:space="preserve">1) ГМУ / ВЫЩЕЛАЧИВАНИЕ (существующий передел по ИД ч.2, вне лотов): вход — богатый фильтрат контрольной фильтрации 124–125 м³/ч, 102,9 кг/м³ Cu, от ёмкости поз. 4.1.19 (температура на входе — через теплообменник поз. 4.1.17, вне БИ); выход — бедный электролит 124,7 м³/ч (35 Cu / 120 H2SO4 кг/м³; ≈12,4 т/ч регенерированной кислоты) в приёмный бак поз. 4.1.8; фильтрат и промводы шлама → репульпатор поз. 4.1.21; «грязная» вода КСМ → ГМО. Взаимные исходные данные: график готовности ГМУ к наработке стартового электролита (~2,8 тыс. м³) под ПНР серий.</w:t>
      </w:r>
    </w:p>
    <w:p>
      <w:r>
        <w:rPr>
          <w:sz w:val="20"/>
        </w:rPr>
        <w:t xml:space="preserve">2) ЛОТ №2 (купорос): отбор бедного электролита 3,2–3,5 м³/ч (27,3 тыс. м³/год) на растворение кристаллов медного купороса с возвратом раствора в контур (учтён в уравнении смешения — блок L3-MIX). Системная роль: отсечка богатого фильтрата на купоросную ветвь держит баланс примесей электролиза (Ni ≤ 20 г/л — лидирующая, Fe ≤ 3 г/л) — диапазон регулирования отбора является заданием Лоту №2 от Лота №3.</w:t>
      </w:r>
    </w:p>
    <w:p>
      <w:r>
        <w:rPr>
          <w:sz w:val="20"/>
        </w:rPr>
        <w:t xml:space="preserve">3) ЛОТ №4 (СГП): граница — передаточные ворота из отделения на СГП (ТЗ v4.1, таблица границ). Физический поток: пакеты катодов 2500 ± 50 кг, темп 8066,1 / 2500 ≈ 3,2 пакета/ч (≈77 пакетов/сут); конвейер автоматизированной транспортировки — в Лоте №3 до ворот, приём в автоматическом режиме от выходного конвейера КСМ — в Лоте №4. Ключевая увязка: «перфорация» пакета (профилирование части листов) обязана соответствовать грузозахватным механизмам, выбранным для СГП (прямое требование ТЗ) — оформляется совместным листом согласования КСМ ↔ СГП до заказа обеих машин. Информационный стык: ИС КСМ передаёт партии, веса, маркировку и данные пробоотбора в АСУ СГП и АИС весоизмерения.</w:t>
      </w:r>
    </w:p>
    <w:p>
      <w:r>
        <w:rPr>
          <w:sz w:val="20"/>
        </w:rPr>
        <w:t xml:space="preserve">4) ЛОТ №1 (обжиг): прямого физического стыка нет; связь балансовая через ГМУ — сквозной баланс меди (расчётная записка КВАНТ): 71,26 тыс. т Cu в шихте → ≈70,25 тыс. т доступно к катоду (невязка сведения 1,45 %); сценарная загрузка серий согласуется с планом обжига через план-задание АСУ верхнего уровня (единая информационно-управляющая система по ТЗ).</w:t>
      </w:r>
    </w:p>
    <w:p>
      <w:r>
        <w:rPr>
          <w:sz w:val="20"/>
        </w:rPr>
        <w:t xml:space="preserve">5) ОБЩЕПЛОЩАДОЧНЫЕ СИСТЕМЫ: серная кислота — продукционная от СКО рафинировочного цеха (2719 т/год); производственная вода — оз. Сопчъявр; нейтральная СОВ — 216 м³/ч на холодильники; единая диспетчерская — интеграция АСУ отделения в ОАСУ комплекса (Прил. №5).</w:t>
      </w:r>
    </w:p>
    <w:p>
      <w:r>
        <w:rPr>
          <w:sz w:val="20"/>
        </w:rPr>
        <w:t xml:space="preserve">ОРГАНИЗАЦИЯ: единый interface register по всем стыкам (физическая граница, среда/параметры, кто выдаёт ИД, срок) с матрицей ответственности; выдача исходных данных смежникам — в первой очереди поэтапной выдачи БИ (до старта ОТР); контрольные точки: компоновка, гидравлика контура, энергобаланс, карта сигналов, лист «перфорации» с Лотом №4.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ГМУ: вход/выход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фильтрат 124–125 м³/ч (102,9 Cu) от поз. 4.1.19 / бедный 124,7 м³/ч в поз. 4.1.8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(границы)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№2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3,2–3,5 м³/ч на растворение купороса; отсечка держит Ni ≤ 20, Fe ≤ 3 г/л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ворота СГП; 2500 ± 50 кг × ≈3,2 пакета/ч; «перфорация» = грузозахваты СГП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(границы, требования к КСМ);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стык балансовый: 71,26 тыс. т Cu шихты → ≈70,25 тыс. т к катоду (сквозной баланс меди)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сквозной баланс меди —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Кислота/вода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H2SO4 от СКО 2719 т/год; вода оз. Сопчъявр; СОВ 216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8.5,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Оформление заданий смежным разделам и ведомостей ИД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Совместный лист согласования «перфорации» пакета и грузозахватов СГП (КСМ ↔ Лот №4) — до заказа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Диапазон регулирования отбора на купорос (задание Лоту №2) — подтвердить балансом примесей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граница монтажа конвейера в передаточных воротах (Лот №3 / Лот №4) — зафиксировать в реестре границ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готовности ГМУ к наработке стартового электролита — совместный план-график пуска с Заказчиком</w:t>
      </w:r>
    </w:p>
    <w:p>
      <w:pPr>
        <w:pStyle w:val="Heading2"/>
      </w:pPr>
      <w:r>
        <w:rPr>
          <w:b/>
          <w:sz w:val="26"/>
        </w:rPr>
        <w:t xml:space="preserve">Цифровая информационная модель отделения на этапе БИ (Приложение №4, ред. 2)</w:t>
      </w:r>
    </w:p>
    <w:p>
      <w:r>
        <w:rPr>
          <w:sz w:val="20"/>
        </w:rPr>
        <w:t xml:space="preserve">Цель модели БИ по ред. 2 Прил. №4 — проверка коллизий стадии «базовый инжиниринг» (выпуск ПД/РД из ЦИМ и спецификации «для стадии Р» из требований исключены); уровень проработки — LOD 200: габаритные тела оборудования, компоновка, основные трубопроводы и трассы, атрибуты уровня FEED.</w:t>
      </w:r>
    </w:p>
    <w:p>
      <w:r>
        <w:rPr>
          <w:sz w:val="20"/>
        </w:rPr>
        <w:t xml:space="preserve">СОСТАВ МОДЕЛИ ЛОТА №3: библиотечный компонент на каждый типоразмер (требование Прил. №4): ванна с колпаком и бортотсосом — один компонент, размещаемый массивом 2 × 90 с шагом 1,40 м; закорачивающая/подъёмная рамы; спецкран с траверсой-бороной; КСМ поблочно (промывка, сдирка, формирование пакетов, конвейеры); циркуляционный бак; узлы реагентов; шинные мосты и межванновая ошиновка (основные трассы); коллекторы DN350/DN80 и сборный воздуховод. Детализация — по листу «Стадия БИ_ТХ» нового Прил. №1 (листы АР/КР в состав БИ не входят — ред. 2).</w:t>
      </w:r>
    </w:p>
    <w:p>
      <w:r>
        <w:rPr>
          <w:sz w:val="20"/>
        </w:rPr>
        <w:t xml:space="preserve">ЗОНЫ ОБСЛУЖИВАНИЯ — объёмными элементами (обязательное требование Прил. №4): ход крюка и габарит траверсы с матрицами над колпаками (до +6…+7 м), зона перестановки крышек «матрёшкой», подванное пространство с трассой нутч-фильтра, ремзона КСМ, коридоры переноса закорачивающих рам, проходы обслуживания рядов (1,4–1,8 м).</w:t>
      </w:r>
    </w:p>
    <w:p>
      <w:r>
        <w:rPr>
          <w:sz w:val="20"/>
        </w:rPr>
        <w:t xml:space="preserve">КЛЮЧЕВЫЕ ПРОВЕРКИ КОЛЛИЗИЙ (по Таблице 3 ред. 2, применительно к лоту): траверса с матрицами ↔ фермы покрытия и колпаки соседних ванн; сборный воздуховод ↔ коллекторы электролита в межрядном пространстве (совмещение по высоте — самый плотный узел компоновки); шинные мосты ↔ проходы и металлоконструкции; рельсы нутча ↔ фундаменты и дренаж; конвейер пакетов ↔ строительные конструкции по трассе к воротам СГП.</w:t>
      </w:r>
    </w:p>
    <w:p>
      <w:r>
        <w:rPr>
          <w:sz w:val="20"/>
        </w:rPr>
        <w:t xml:space="preserve">АТРИБУТЫ И ПЕРЕДАЧА: классификация элементов IFC по типам/категориям (кодификатор ред. 2 не требует); рабочие механизмы в компонентах — «при наличии» (по ред. 2); состав передачи: исходные файлы + IFC + сводная модель + отчёт «Описание ЦИМ»; выгрузка IFC в СОД Заказчика — раз в 4 недели; ПО — из рекомендуемого российского перечня (Model Studio CS и др.), фактическое — согласуется с Заказчиком. Выпуск ЦИМ — отдельным этапом графика БИ (ТЗ «Прочие условия»); модель Лота №3 собирается в сводную модель комплекса вместе с Лотами №1, №2, №4.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LOD 200 (габариты, компоновка, основные трассы); цель — коллизии стадии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2; BIMForum LOD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Компоненты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ванна+колпак (массив 2×90, шаг 1,40 м), краны, КСМ, баки, ошиновка, воздуховод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(библиотечные компоненты); компоновка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Зоны обслуживания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объёмные элементы: крюк до +6…+7 м, «матрёшка», нутч, ремзоны, проходы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№4; компоновка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исходники + IFC + сводная модель + «Описание ЦИМ»; выгрузка раз в 4 недели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2) — Требования к ЦИМ этапа БИ: компоненты, проверки Таблицы 3, состав передачи; ГОСТ Р 10.0.02-2019 (ИСО 16739) — Формат IFC для выгрузок в СОД Заказчика; ISO 19650 / BIMForum LOD Spec — Методическая база уровня проработки LOD 200 на стадии FEED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Фактическое ПО моделирования — согласовать с Заказчиком до старта этапа ЦИМ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Применимость проверок Таблицы 3 ред. 2 к составу лота (перечень пар коллизий) — протоколом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Глубина моделирования ошиновки (шинные мосты полностью / межванновые шины компонентом) — решение БИ по трудоёмкости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№3 (порядок формирования) и этапность выдачи БИ</w:t>
      </w:r>
    </w:p>
    <w:p>
      <w:r>
        <w:rPr>
          <w:sz w:val="20"/>
        </w:rPr>
        <w:t xml:space="preserve">Порядок — по разделу «Стоимость поставки по Лоту №3» ТЗ v4.1: (1) стоимость оборудования — бюджетные ТКП по основному оборудованию (требование «не менее 2–3 ТКП на каждую позицию» в v4.1 вычеркнуто — действует редакция «Бюджетные ТКП по основному оборудованию»); (2) бюджетная оценка общей стоимости комплектной поставки оборудования и материалов в границах п. 6.2 — с учётом АСУ с прикладным ПО (нагрузки, шунтирование, потоки, параметры) и специальных автоматических кранов электролизного зала (прямое требование ТЗ).</w:t>
      </w:r>
    </w:p>
    <w:p>
      <w:r>
        <w:rPr>
          <w:sz w:val="20"/>
        </w:rPr>
        <w:t xml:space="preserve">ПЕРЕЧЕНЬ ПОЗИЦИЙ ПОД ТКП (основное оборудование, ориентировочно 70–80 % стоимости поставки): электролизные ванны (180) с коллекторами и закладными; КСМ с формированием пакетов и изоляцией кромок; спецкраны (2) с траверсами; ошиновка; первичная загрузка матриц (15 120) и анодов (15 300); аспирационные укрытия (180); циркуляционные баки (2 × 300 м³); АСУ с ППО и системой mV-контроля. Остальное (узлы реагентов, металлоконструкции обслуживания, обвязка в границах, полевые КИП) — укрупнённые показатели и база аналогов КВАНТ. Класс точности итоговой оценки — Class 3 (±15–20 %, AACE 18R-97) — зафиксировать в договоре.</w:t>
      </w:r>
    </w:p>
    <w:p>
      <w:r>
        <w:rPr>
          <w:sz w:val="20"/>
        </w:rPr>
        <w:t xml:space="preserve">В ЦЕНУ ПОСТАВКИ НЕ ВХОДЯТ (перечень «вне БИ» п. 6.3): выпрямители, магистральные шины, напорный/сливной трубопроводы, аспирация со скруббером, циркуляционные насосы, теплообменники, нутч-фильтр, обработка шлама, базовые краны — для сводного CAPEX Заказчика по этим позициям передаются задания на стыке (реестр границ). Строительная часть — вне поставки лота; справочная оценка нового корпуса — расчётная записка КВАНТ (Class 5).</w:t>
      </w:r>
    </w:p>
    <w:p>
      <w:r>
        <w:rPr>
          <w:sz w:val="20"/>
        </w:rPr>
        <w:t xml:space="preserve">ЛОГИСТИЧЕСКАЯ СОСТАВЛЯЮЩАЯ ЦЕНЫ: ≈3,3–3,4 тыс. т серийных грузов (ванны, электроды) до Мончегорска, упаковка по ГОСТ 15846; шеф-монтаж и ПНР поставщиков — в объёме поставки (прил. В п. 17); ЗИП АСУТП/КИП на 2 года (≥ 10 %, ≥ 1 шт. наименования — Прил. №5).</w:t>
      </w:r>
    </w:p>
    <w:p>
      <w:r>
        <w:rPr>
          <w:sz w:val="20"/>
        </w:rPr>
        <w:t xml:space="preserve">ЭТАПНОСТЬ ВЫДАЧИ МАТЕРИАЛОВ БИ (для старта ОТР до полного выпуска — ТЗ «Прочие условия»): 1-я очередь — балансы и электрический расчёт, PFD, перечень оборудования, задания на стыке смежникам, исходные требования на длинноцикловое; 2-я — компоновки, предварительные нагрузки, P&amp;ID, line list; 3-я — опросные листы, ТКП и бюджетная оценка, ЦИМ (отдельный этап). График выдач — в составе договора.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ТКП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бюджетные, по основному оборудованию (~70–80 % стоимости); правка v4.1 учтена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«Стоимость поставки по Лоту №3»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бюджетная, комплектная поставка в границах п. 6.2, включая АСУ с ППО и спецкраны; Class 3 ±15–20 %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v4.1; AACE 18R-97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Вне цены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позиций «вне БИ» (выпрямители, аспирация и др.) — задания на стыке для CAPEX Заказчика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п. 6.3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Логистика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≈3,3–3,4 тыс. т грузов; упаковка Крайний Север; шеф-монтаж и ЗИП в поставке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ч.2 прил. В п. 17;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AACE RP 18R-97 — Класс точности оценки Class 3 (±15–20 %) — методическая база; ГОСТ 15846-2002 — Упаковка для транспортирования в районы Крайнего Севера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цен ТКП (валюта, ИНКОТЕРМС, срок действия) — единые условия запросов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Разнесение стоимости АСУ между лотами при единой диспетчерской ОАСУ — протокол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ТКП — тот же протокол, что и для опросных листов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lot3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