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Ошиновка ванн с двойным контактом.</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серии × 90 ванн; I факт 42,45 кА; уравнительная шина для анодов и/или катодов.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Cell busbar system with double contact.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ОВЭ75-RFQ-16 / To RFQ No. OVE75-RFQ-16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Ошиновка ванн с двойным контактом</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серии × 90 ванн; I факт 42,45 кА; уравнительная шина для анодов и/или катодов</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Подтвердить равномерность распределения тока по ваннам, падение напряжения на контактах двойной контактной системы и совместимость с изоляторами ванн</w:t>
            </w:r>
          </w:p>
        </w:tc>
      </w:tr>
    </w:tbl>
    <w:p>
      <w:r>
        <w:rPr>
          <w:b/>
          <w:sz w:val="20"/>
        </w:rPr>
        <w:t xml:space="preserve">Состав позиции по перечню оборудования — Equipment covered by this request:</w:t>
      </w:r>
    </w:p>
    <w:p>
      <w:r>
        <w:rPr>
          <w:b/>
          <w:sz w:val="21"/>
        </w:rPr>
        <w:t xml:space="preserve">1. Ошиновка ванн</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Конструкция с двойным контактом разработки Outotec или аналоги</w:t>
            </w:r>
          </w:p>
        </w:tc>
      </w:tr>
      <w:tr>
        <w:tc>
          <w:tcPr>
            <w:tcW w:w="3038" w:type="dxa"/>
            <w:shd w:val="clear" w:fill="EFEFEF"/>
          </w:tcPr>
          <w:p>
            <w:r>
              <w:rPr>
                <w:b/>
                <w:sz w:val="18"/>
              </w:rPr>
              <w:t xml:space="preserve">Назначение — Duty</w:t>
            </w:r>
          </w:p>
        </w:tc>
        <w:tc>
          <w:tcPr>
            <w:tcW w:w="6600" w:type="dxa"/>
          </w:tcPr>
          <w:p>
            <w:r>
              <w:rPr>
                <w:sz w:val="18"/>
              </w:rPr>
              <w:t xml:space="preserve">Токоподвод с уравнительной шиной для анодов и/или катодов — равномерное распределение тока, работа при более высоких плотностях тока и выходе по току</w:t>
            </w:r>
          </w:p>
        </w:tc>
      </w:tr>
      <w:tr>
        <w:tc>
          <w:tcPr>
            <w:tcW w:w="3038" w:type="dxa"/>
            <w:shd w:val="clear" w:fill="EFEFEF"/>
          </w:tcPr>
          <w:p>
            <w:r>
              <w:rPr>
                <w:b/>
                <w:sz w:val="18"/>
              </w:rPr>
              <w:t xml:space="preserve">Количество — Quantity</w:t>
            </w:r>
          </w:p>
        </w:tc>
        <w:tc>
          <w:tcPr>
            <w:tcW w:w="6600" w:type="dxa"/>
          </w:tcPr>
          <w:p>
            <w:r>
              <w:rPr>
                <w:sz w:val="18"/>
              </w:rPr>
              <w:t xml:space="preserve">Комплект на 180 ванн</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Медь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16 busbar</dc:title>
  <dc:creator>ООО «КВАНТ»</dc:creator>
  <cp:lastModifiedBy>ООО «КВАНТ»</cp:lastModifiedBy>
  <dcterms:created xsi:type="dcterms:W3CDTF">2026-08-27T09:00:00Z</dcterms:created>
  <dcterms:modified xsi:type="dcterms:W3CDTF">2026-08-27T09:00:00Z</dcterms:modified>
</cp:coreProperties>
</file>