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ОВЭ75-RFQ-17</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Роботизированная КСМ 120 шт./ч.</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Промывка в 2 стадии, сдирка, оптический контроль с машинным зрением, электронный реестр матриц, пакетирование, автопробоотбор; 125 кВт установленной мощности.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OVE75-RFQ-17</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Robotic cathode stripping machine, 120 cathodes/h.</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ОВЭ75-RFQ-17 / To RFQ No. OVE75-RFQ-17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Роботизированная КСМ 120 шт./ч</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Промывка в 2 стадии, сдирка, оптический контроль с машинным зрением, электронный реестр матриц, пакетирование, автопробоотбор; 125 кВт установленной мощности</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Обязательные требования: разделение двух пластин без сращивания по нижней кромке; «перфорация» пакета профилированием листов; формирование партий с сопроводительной документацией</w:t>
            </w:r>
          </w:p>
        </w:tc>
      </w:tr>
    </w:tbl>
    <w:p>
      <w:r>
        <w:rPr>
          <w:b/>
          <w:sz w:val="20"/>
        </w:rPr>
        <w:t xml:space="preserve">Состав позиции по перечню оборудования — Equipment covered by this request:</w:t>
      </w:r>
    </w:p>
    <w:p>
      <w:r>
        <w:rPr>
          <w:b/>
          <w:sz w:val="21"/>
        </w:rPr>
        <w:t xml:space="preserve">1. Роботизированная катодосдирочная машина (КСМ)</w:t>
      </w:r>
      <w:r>
        <w:rPr>
          <w:color w:val="888888"/>
          <w:sz w:val="16"/>
        </w:rPr>
        <w:t xml:space="preserve">   Обработка катодов</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Референс — поставка Outotec: роботы KUKA KR 300 (подающий) и KR 180 (выгружающий)</w:t>
            </w:r>
          </w:p>
        </w:tc>
      </w:tr>
      <w:tr>
        <w:tc>
          <w:tcPr>
            <w:tcW w:w="3038" w:type="dxa"/>
            <w:shd w:val="clear" w:fill="EFEFEF"/>
          </w:tcPr>
          <w:p>
            <w:r>
              <w:rPr>
                <w:b/>
                <w:sz w:val="18"/>
              </w:rPr>
              <w:t xml:space="preserve">Назначение — Duty</w:t>
            </w:r>
          </w:p>
        </w:tc>
        <w:tc>
          <w:tcPr>
            <w:tcW w:w="6600" w:type="dxa"/>
          </w:tcPr>
          <w:p>
            <w:r>
              <w:rPr>
                <w:sz w:val="18"/>
              </w:rPr>
              <w:t xml:space="preserve">Полный цикл обработки катодов: промывка, отделение осадка от матриц, оптический контроль и разбраковка, пакетирование, автоматический пробоотбор</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Расчётная производительность 105 шт./ч, принято 120 шт./ч (референс Outotec — 250 матриц/ч); точность позиционирования до 1 мм; персонал 1 чел.</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Конструкционная и нержавеющая сталь, ПВХ, полипропилен</w:t>
            </w:r>
          </w:p>
        </w:tc>
      </w:tr>
      <w:tr>
        <w:tc>
          <w:tcPr>
            <w:tcW w:w="3038" w:type="dxa"/>
            <w:shd w:val="clear" w:fill="EFEFEF"/>
          </w:tcPr>
          <w:p>
            <w:r>
              <w:rPr>
                <w:b/>
                <w:sz w:val="18"/>
              </w:rPr>
              <w:t xml:space="preserve">Габариты, НЗП — Dimensions, hold-up</w:t>
            </w:r>
          </w:p>
        </w:tc>
        <w:tc>
          <w:tcPr>
            <w:tcW w:w="6600" w:type="dxa"/>
          </w:tcPr>
          <w:p>
            <w:r>
              <w:rPr>
                <w:sz w:val="18"/>
              </w:rPr>
              <w:t xml:space="preserve">Установленная мощность 125 кВт, потребляемая 105 кВт; 380 В 50 Гц, управление 220 В; гидравлика 120 бар, пневматика 6 бар; охлаждающая вода 1,5 бар, ≤30 °С, 25 л/мин; промывка I ст. 25 м³/ч 60–80 °С, II ст. 4 м³/ч 90–115 °С</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Обязательно: разделение двух пластин без сращивания по нижней кромке; электронный реестр парка матриц; «перфорация» пакета профилированием листов; пакеты 1400–2000 кг (по сбыту — 2500 ± 50 кг, увязка тремя коррозионностойкими лентами)</w:t>
            </w:r>
          </w:p>
        </w:tc>
      </w:tr>
    </w:tbl>
    <w:p>
      <w:r>
        <w:rPr>
          <w:b/>
          <w:sz w:val="21"/>
        </w:rPr>
        <w:t xml:space="preserve">2. Оборудование формирования пакетов катодов</w:t>
      </w:r>
      <w:r>
        <w:rPr>
          <w:color w:val="888888"/>
          <w:sz w:val="16"/>
        </w:rPr>
        <w:t xml:space="preserve">   Обработка катодов</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Укладка, весовой контроль, маркировка, увязка, «перфорация» пакета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Пакеты 1400–2000 кг (сбыт требует 2500 ± 50 кг)</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1"/>
        </w:rPr>
        <w:t xml:space="preserve">3. Автоматизированная транспортировка пакетов катодной меди на СГП</w:t>
      </w:r>
      <w:r>
        <w:rPr>
          <w:color w:val="888888"/>
          <w:sz w:val="16"/>
        </w:rPr>
        <w:t xml:space="preserve">   Подъёмно-транспортное</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Передача пакетов в помещение склада готовой продукции</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17 stripper</dc:title>
  <dc:creator>ООО «КВАНТ»</dc:creator>
  <cp:lastModifiedBy>ООО «КВАНТ»</cp:lastModifiedBy>
  <dcterms:created xsi:type="dcterms:W3CDTF">2026-08-27T09:00:00Z</dcterms:created>
  <dcterms:modified xsi:type="dcterms:W3CDTF">2026-08-27T09:00:00Z</dcterms:modified>
</cp:coreProperties>
</file>