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Расчётная записка (независимый пересчёт КВАНТ)</w:t>
      </w:r>
    </w:p>
    <w:p>
      <w:r>
        <w:rPr>
          <w:sz w:val="20"/>
        </w:rPr>
        <w:t xml:space="preserve">АО «Кольская ГМК», комплекс «обжиг–выщелачивание–электроэкстракция» 75 000 т/год. Сборка 2026-08-14. К ТЗ на БИ v3.6 и ИД ч.1/ч.2.</w:t>
      </w:r>
    </w:p>
    <w:p>
      <w:r>
        <w:rPr>
          <w:i/>
          <w:sz w:val="19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Вердикты: ok — сходится (≤1,5 %), warn — в допуске модели, question — методологический вопрос Гипроникелю. Расчёты подлежат рецензии инженера перед включением в БИ.</w:t>
      </w:r>
    </w:p>
    <w:p>
      <w:r>
        <w:rPr>
          <w:b/>
          <w:sz w:val="21"/>
        </w:rPr>
        <w:t xml:space="preserve">Итого: блоков 15, сверок 29 (сходится 24, в допуске 1, вопросов 4), находок для Гипроникеля 6.</w:t>
      </w:r>
    </w:p>
    <w:p/>
    <w:p>
      <w:pPr>
        <w:pStyle w:val="Heading1"/>
      </w:pPr>
      <w:r>
        <w:rPr>
          <w:b/>
          <w:sz w:val="28"/>
        </w:rPr>
        <w:t xml:space="preserve">1. Находки — вопросы к ИД</w:t>
      </w:r>
    </w:p>
    <w:p>
      <w:r>
        <w:rPr>
          <w:b/>
          <w:sz w:val="21"/>
        </w:rPr>
        <w:t xml:space="preserve">1. [к сведению] Газовые потоки ИД — часовые максимумы (K=1,15): тракт и СКЦ проверять именно на них</w:t>
      </w:r>
    </w:p>
    <w:p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 [ВАЖНО] Кислород: норма расхода табл. 26 превышает балансовую потребность на ~16 %</w:t>
      </w:r>
    </w:p>
    <w:p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3. [ВАЖНО] Тепловой эффект обжига 2,378 ГДж/т — запросить расчёт (наша оценка 2,7–2,9)</w:t>
      </w:r>
    </w:p>
    <w:p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4. [ВАЖНО] Электропотребление лота 1 занижено в ИД: неучтённые потребители дают ≈ +50 %</w:t>
      </w:r>
    </w:p>
    <w:p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ТЭП завышается. Учесть в расчёте нагрузок (D-ТУ) и ТЭП.</w:t>
      </w:r>
    </w:p>
    <w:p>
      <w:r>
        <w:rPr>
          <w:b/>
          <w:sz w:val="21"/>
        </w:rPr>
        <w:t xml:space="preserve">5. [ВАЖНО] Cu в медном купоросе 25,7 % &gt; теоретических 25,45 % для CuSO₄·5H₂O</w:t>
      </w:r>
    </w:p>
    <w:p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6. [уточнить] Выход по току в ИД явно не указан — запросить (мы приняли 92 %)</w:t>
      </w:r>
    </w:p>
    <w:p>
      <w:r>
        <w:rPr>
          <w:sz w:val="20"/>
        </w:rPr>
        <w:t xml:space="preserve">Все электрохимические цифры ИД самосогласованы при η ≈ 92 %. Значение нужно зафиксировать как гарантийный параметр (влияет на удельный расход электроэнергии 1 942 кВт·ч/т).</w:t>
      </w:r>
    </w:p>
    <w:p/>
    <w:p>
      <w:pPr>
        <w:pStyle w:val="Heading1"/>
      </w:pPr>
      <w:r>
        <w:rPr>
          <w:b/>
          <w:sz w:val="28"/>
        </w:rPr>
        <w:t xml:space="preserve">2. Расчётные блоки и сверки</w:t>
      </w:r>
    </w:p>
    <w:p>
      <w:pPr>
        <w:pStyle w:val="Heading2"/>
      </w:pPr>
      <w:r>
        <w:rPr>
          <w:b/>
          <w:sz w:val="26"/>
        </w:rPr>
        <w:t xml:space="preserve">L1-MET · Баланс металлов: приход из составов сырья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Концентрат ОРФ на шихту: 73 492 т/год; Cu 67,10 / Ni 4,20 / Co 0,22 / Fe 5,24 / S 23,24 % [ИД ч.1 табл. 22 стр.1, табл. 23 п.62] · Кек NNH: 24 218,5 т/год; Cu 55,00 / Ni 3,00 / Co 0,10 / Fe 3,00 / S 20,00 % [ИД ч.1 табл. 22 стр.2, табл. 23 п.71] · Цементная медь: 9 181,9 т/год; Cu 94,00 / Ni 2,50 / Co 0,06 / Fe 0,10 / S 0,14 % [ИД ч.1 табл. 22 стр.3, табл. 23 п.80]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L1-S · Баланс серы: распределение огарок / пыль / газ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огарке: 81 896 т × 0,051 % [ИД табл. 22 стр.4, табл. 23 п.243] · Сера в пылях: КУ 2,15 % · циклон 2,27 % · ЭФ и унос 3,44 % [ИД табл. 22 стр.5–9] · Потери 502 т/год: принята средняя сера шихты 20,52 % [ИД табл. 22 стр.12; допущение КВАНТ]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L1-GAS · Газовый тракт: объём SO₂ и коэффициент максимума 1,15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газ: 21 309,9 т/год (наш баланс L1-S) [расчёт КВАНТ] · Фонд времени печи: 7 920 ч/год (330 сут) [ИД ч.1 Прил. В] · Внутрипечной газ (макс.): 12 129 нм³/ч, SO₂ 17,83 % [ИД табл. 23 (баланс обжига)]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черновика БИ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L1-O2 · Кислородный баланс печи КС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Кислород технический 96 %: 37,121 млн нм³/год [ИД табл. 26] · Технологический воздух: 52,708 млн нм³/год (O₂ 20,95 %) [ИД табл. 26] · Твёрдые продукты: огарок 81 896 + пыль 20 175 + потери 502 т [ИД табл. 22] · Газ на СКЦ: 13 262 нм³/ч (макс.), O₂ 16,33 % [ИД табл. 23 п.400–401]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Подача O₂ vs сведение баланса (SO₂ + твёрдые + газ), млн нм³/год — норма подачи превышает балансовую потребность ~ на 16 %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L1-HEAT · Тепловой эффект обжига: независимая оценка по энтальпиям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сульфидная концентрата: 17 079,5 т (халькозин-борнит, модель Cu₂S) [ИД табл. 23 п.62; вещественный состав] · Сера сульфидная кека NNH: 3 904,0 т (ковеллин CuS); сульфатная 3,88 % не горит [ИД табл. 23 п.71] · Металлическая медь цементной меди: 7 125,2 т (77,6 %) → CuO [ИД табл. 23 п.80] · ΔH реакций: Cu₂S+2O₂→2CuO+SO₂: −531,9; CuS+1,5O₂→CuO+SO₂: −401,0; Cu+½O₂→CuO: −157,3 кДж/моль [стандартные энтальпии образования (справочные)]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L1-STEAM · Пар котла-утилизатора: энтальпийная сверка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Тепловосприятие КУ (осн.): 11,30 ГДж/ч (газ 882,8 → 400 °C) [ИД табл. 23 п.278–281] · Пар 1,9 МПа, 375 °C: h ≈ 3 190 кДж/кг; питательная вода 105 °C: h ≈ 440 кДж/кг [таблицы водяного пара]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ГДж/ч ÷ (3 190 − 440) = 4,109 т/ч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L1-EL · Электрика лота 1: досчёт потребителей, не нормированных в ИД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Учтено в ИД табл. 26: ≈4,95 млн кВт·ч/год (средняя ≈625 кВт: 0,4 кВ 192 + дымосос 400 + ЭФ 32) [ИД табл. 26; сводка черновика БИ] · Воздуходувка (НЕ нормирована): 52,708 / 99,887 млн нм³/год, 0,09–0,12 МПа изб. [ИД табл. 26 (объёмы дутья); прямое указание ИД «досчитываются на стадии БИ»] · Вакуум-насосы и аспирация (НЕ нормированы): фильтрация 2×20 м²; аспирация 25–40 тыс. м³/ч [оценка КВАНТ по аналогам (Class 5)]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≈7.7 млн кВт·ч (+56 %).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L2-CU · Медь купоросного передела и стехиометрия пентагидрата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Фильтрат на кристаллизацию: 42,2 тыс. м³/год, Cu 102,9 кг/м³ [ТЗ п. 4.1] · Медный купорос: 14 139 т/год, Cu 25,7 % (сухой) [ТЗ п. 4.2; ИД ч.2 табл. 3.1] · Маточник на смешанный купорос: 11,81 тыс. м³/год, Cu 60 кг/м³ [ТЗ п. 4.1]</w:t>
      </w:r>
    </w:p>
    <w:p>
      <w:r>
        <w:rPr>
          <w:b/>
          <w:sz w:val="20"/>
        </w:rPr>
        <w:t xml:space="preserve">Cu входа:  </w:t>
      </w:r>
      <w:r>
        <w:rPr>
          <w:sz w:val="20"/>
        </w:rPr>
        <w:t xml:space="preserve">42 200 × 102,9 = 4 342,4 т/год</w:t>
      </w:r>
    </w:p>
    <w:p>
      <w:r>
        <w:rPr>
          <w:b/>
          <w:sz w:val="20"/>
        </w:rPr>
        <w:t xml:space="preserve">Cu в купорос:  </w:t>
      </w:r>
      <w:r>
        <w:rPr>
          <w:sz w:val="20"/>
        </w:rPr>
        <w:t xml:space="preserve">14 139 × 25,7 % = 3 633,7 т/год</w:t>
      </w:r>
    </w:p>
    <w:p>
      <w:r>
        <w:rPr>
          <w:b/>
          <w:sz w:val="20"/>
        </w:rPr>
        <w:t xml:space="preserve">Cu в маточник-1:  </w:t>
      </w:r>
      <w:r>
        <w:rPr>
          <w:sz w:val="20"/>
        </w:rPr>
        <w:t xml:space="preserve">11 810 × 60 = 708,6 т/год</w:t>
      </w:r>
    </w:p>
    <w:p>
      <w:r>
        <w:rPr>
          <w:b/>
          <w:sz w:val="20"/>
        </w:rPr>
        <w:t xml:space="preserve">Теоретический Cu в CuSO₄·5H₂O:  </w:t>
      </w:r>
      <w:r>
        <w:rPr>
          <w:sz w:val="20"/>
        </w:rPr>
        <w:t xml:space="preserve">63,546 / 249,69 = 25,45 %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Баланс меди: вход − купорос − маточник, т/год — невязка 0,1 % от входа — сходится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0,057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Cu в купоросе, % (заявлено vs теория пентагидрата) — 25,7 % ВЫШЕ теоретического максимума чистого CuSO₄·5H₂O (25,45 %)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+0,98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Массовый баланс меди сходится. Но заявленный состав купороса 25,7 % Cu превышает стехиометрический максимум пентагидрата (25,45 %): либо продукт частично обезвожен (примесь CuSO₄·H₂O/безводного ~1–2 %), либо базис состава иной. На гарантии качества продукта это влияет напрямую.</w:t>
      </w:r>
    </w:p>
    <w:p/>
    <w:p>
      <w:pPr>
        <w:pStyle w:val="Heading2"/>
      </w:pPr>
      <w:r>
        <w:rPr>
          <w:b/>
          <w:sz w:val="26"/>
        </w:rPr>
        <w:t xml:space="preserve">L2-NI · Баланс никеля купоросного передела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Ni входа с фильтратом: 42,2 тыс. м³ × 20,6 кг/м³ [ТЗ п. 4.1] · Ni продуктов: смешанный купорос 11,47 %, медный купорос 0,29 %, маточник-2 30,5 кг/м³ [ТЗ п. 4.2; ИД ч.2 п. 1.4.2.2]</w:t>
      </w:r>
    </w:p>
    <w:p>
      <w:r>
        <w:rPr>
          <w:b/>
          <w:sz w:val="20"/>
        </w:rPr>
        <w:t xml:space="preserve">Вход:  </w:t>
      </w:r>
      <w:r>
        <w:rPr>
          <w:sz w:val="20"/>
        </w:rPr>
        <w:t xml:space="preserve">869,3 т/год</w:t>
      </w:r>
    </w:p>
    <w:p>
      <w:r>
        <w:rPr>
          <w:b/>
          <w:sz w:val="20"/>
        </w:rPr>
        <w:t xml:space="preserve">Выход:  </w:t>
      </w:r>
      <w:r>
        <w:rPr>
          <w:sz w:val="20"/>
        </w:rPr>
        <w:t xml:space="preserve">763,7 (смеш.) + 54,9 (маточник-2) + 41,0 (медный) = 859,6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Невязка Ni, % входа — 9,7 т/год ≈ 1,1 % — в допуске округлений составов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Никель сводится с невязкой ~1 % — распределение по продуктам согласовано; смешанный купорос уносит 88 % никеля входа, что и требуется для вывода Ni из медного контура.</w:t>
      </w:r>
    </w:p>
    <w:p/>
    <w:p>
      <w:pPr>
        <w:pStyle w:val="Heading2"/>
      </w:pPr>
      <w:r>
        <w:rPr>
          <w:b/>
          <w:sz w:val="26"/>
        </w:rPr>
        <w:t xml:space="preserve">L2-EVAP · Выпарка: соотношение пар/испарённая вода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Испарённая вода: 27–28 тыс. т/год (3,3–3,4 т/ч) [ИД ч.2 табл. 3.1; расчёт БИ] · Пар технологический: 36,3 тыс. т/год (глухой 3,0 + острый 1,36 т/ч) [ИД ч.2 рис. 4.4/4.5]</w:t>
      </w:r>
    </w:p>
    <w:p>
      <w:r>
        <w:rPr>
          <w:b/>
          <w:sz w:val="20"/>
        </w:rPr>
        <w:t xml:space="preserve">GOR (кг воды / кг пара):  </w:t>
      </w:r>
      <w:r>
        <w:rPr>
          <w:sz w:val="20"/>
        </w:rPr>
        <w:t xml:space="preserve">27 500 / 36 300 = 0,76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GOR вакуум-кристаллизации — паровое хозяйство согласовано с технологией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0,760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-0,32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Удельный расход пара соответствует одноступенчатой вакуум-кристаллизации; резерв экономии — механическая рекомпрессия пара (МВР), можно предложить Заказчику как опцию энергоэффективности.</w:t>
      </w:r>
    </w:p>
    <w:p/>
    <w:p>
      <w:pPr>
        <w:pStyle w:val="Heading2"/>
      </w:pPr>
      <w:r>
        <w:rPr>
          <w:b/>
          <w:sz w:val="26"/>
        </w:rPr>
        <w:t xml:space="preserve">L3-FARADEY · Электроэкстракция: закон Фарадея, ток, напряжение, мощность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8 066,1 кг/ч; 75 000 т/год номинал [ИД ч.2 табл. 4.2] · Ванны и катоды: 180 ванн (2×90); 84 матрицы/ванну ≈ 1,0×1,0 м [ИД ч.2 п. 4.2.2, п. 1.3.9] · Удельный расход: 1 942 кВт·ч/т (134 484 тыс. кВт·ч/год) [ИД ч.2 табл. 8.5] · Выход по току: принято 92 % (типовой диапазон ЭЭ меди 88–94 %) [допущение КВАНТ — в ИД явно не приведён]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0,92) = 41 087 А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41 087 / (84 × 2 × 1,0 м²) = 245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0,92 = 2,12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МВт; ток из мощности: 41 089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→ 77,7 тыс,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41 087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41 089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Максимум при 280 А/м², тыс.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77,7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+0,86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самосогласована: ток ванны ≈41 087 А (плотность 245 А/м² номинал), напряжение 2.12 В, мощность выпрямления ≈15.7 МВт (два независимых пути сходятся в 0,1 %). Запас до 280 А/м² подтверждает 76,7 тыс. т/год. Выход по току 92 % — наше допущение, у Гипроникеля запросить принятое значение.</w:t>
      </w:r>
    </w:p>
    <w:p/>
    <w:p>
      <w:pPr>
        <w:pStyle w:val="Heading2"/>
      </w:pPr>
      <w:r>
        <w:rPr>
          <w:b/>
          <w:sz w:val="26"/>
        </w:rPr>
        <w:t xml:space="preserve">L3-MIX · Контур растворов: смешение и съём меди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Богатый фильтрат: 102,9 кг/м³ Cu; отсечка в контур 124,7 м³/ч [ТЗ п. 4.1; ИД ч.2 табл. 3.1] · Оборотный (бедный): 35 кг/м³ Cu [ТЗ п. 5.1] · Питание ванн: 40 кг/м³ (съём 5 кг/м³); поток 1 600–1 650 м³/ч [ИД ч.2 табл. 3.1]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8 413 ч = 68 756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68 756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-0,71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L4-PACK · Потоки склада готовой продукции (Лот №4)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75 000 т/год; пакет 2 500 ± 50 кг [ТЗ; ИД п. 1.3.11] · Режим: 358 сут/год; полувагон 27 пакетов (67,5 т) [ТЗ п. 5.3; расчёт БИ]</w:t>
      </w:r>
    </w:p>
    <w:p>
      <w:r>
        <w:rPr>
          <w:b/>
          <w:sz w:val="20"/>
        </w:rPr>
        <w:t xml:space="preserve">Пакетов в год / в сутки:  </w:t>
      </w:r>
      <w:r>
        <w:rPr>
          <w:sz w:val="20"/>
        </w:rPr>
        <w:t xml:space="preserve">75 000 / 2,5 = 30 000; 83,8/сут</w:t>
      </w:r>
    </w:p>
    <w:p>
      <w:r>
        <w:rPr>
          <w:b/>
          <w:sz w:val="20"/>
        </w:rPr>
        <w:t xml:space="preserve">Отгрузка:  </w:t>
      </w:r>
      <w:r>
        <w:rPr>
          <w:sz w:val="20"/>
        </w:rPr>
        <w:t xml:space="preserve">3,1 полувагона/сут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Пакетов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83,8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-0,24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Полувагонов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Потоки склада подтверждены; буфер 3 000 т покрывает 14,3 суток отгрузки — устойчив к недельным сбоям подачи вагонов.</w:t>
      </w:r>
    </w:p>
    <w:p/>
    <w:p>
      <w:pPr>
        <w:pStyle w:val="Heading2"/>
      </w:pPr>
      <w:r>
        <w:rPr>
          <w:b/>
          <w:sz w:val="26"/>
        </w:rPr>
        <w:t xml:space="preserve">EL-TOTAL · Сводная электрическая нагрузка комплекса (для ТУ)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Составляющие: Лот 1 (обжиг): ср, 0,98 МВт; Лот 2 (купорос): ср, 0,19 МВт; Лот 3 (ЭЭ: выпрямление + вспом,): ср, 16,07 МВт; Лот 4 (склад): ср, 0,08 МВт [ИД табл. 26, табл. 8.5 + досчёты КВАНТ (L1-EL, L3-FARADEY)]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 (D-ТУ, позиция E-04).</w:t>
      </w:r>
    </w:p>
    <w:p/>
    <w:p>
      <w:pPr>
        <w:pStyle w:val="Heading2"/>
      </w:pPr>
      <w:r>
        <w:rPr>
          <w:b/>
          <w:sz w:val="26"/>
        </w:rPr>
        <w:t xml:space="preserve">IO-TOTAL · Укрупнённый объём сигналов АСУТП (для выбора контроллеров)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База: перечень оборудования БИ (70 позиций) × типовые наборы сигналов на агрегат/контур + 30 % запас (Прил.5) [equipment.json; Прил. №5 (запас модулей ввода/вывода ≥30 %)]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ДИ (позиция A-10 вкладки «Состав БИ»).</w:t>
      </w:r>
    </w:p>
    <w:p/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