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Электроснабжение и электрооборудование: однолинейные схемы, предварительный перечень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ОВЭ75-БИ-Л1-ЭС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D-23, D-33, E-02…E-17.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сведения по электроснабжению и электрооборудованию Лот №1 «Цех обжига» в объёме, принятом на стадии Базового инжиниринга: характеристику источников и порядок получения технических условий, обоснование принятой схемы электроснабжения, расчёт электрических нагрузок с категориями надёжности, решения по компенсации реактивной мощности, предварительную оценку трансформаторной мощности, принципиальные решения по кабельным линиям, объём расчёта токов короткого замыкания, решения по заземлению, молниезащите и освещению, классификацию взрывоопасных зон, предварительный перечень основного электрооборудования и состав опросных листов.</w:t>
      </w:r>
    </w:p>
    <w:p>
      <w:r>
        <w:rPr>
          <w:sz w:val="20"/>
        </w:rPr>
        <w:t xml:space="preserve">Документ выполняет требования состава Базового инжиниринга «Сведения по электроснабжению и электрооборудованию по Приложению №3» и «Однолинейные схемы электроснабжения, планы расположения электрооборудования, спецификации основного электрооборудования и материалов, комплект опросных листов на основное электротехническое оборудование по Приложению №3» (ТЗ на БИ ред. 4.1, состав по Лоту №1) и раскрывает пункты Приложения №3 к ТЗ, отнесённые к стадии Базового инжиниринга.</w:t>
      </w:r>
    </w:p>
    <w:p>
      <w:r>
        <w:rPr>
          <w:sz w:val="20"/>
        </w:rPr>
        <w:t xml:space="preserve">Режим работы объекта: 330 сут/год, 7 920 ч, круглосуточно (ТЗ на БИ ред. 4.1).</w:t>
      </w:r>
    </w:p>
    <w:p>
      <w:r>
        <w:rPr>
          <w:color w:val="666666"/>
          <w:sz w:val="17"/>
        </w:rPr>
        <w:t xml:space="preserve">Источник: ИД ч.1 (табл. 23 — характеристики оборудования, табл. 26 — расходы энергоресурсов); ТЗ на БИ ред. 4.1 (п. 3.3.13 — граница поставки электроэнергии, состав БИ по Лоту №1); Приложение №3 к ТЗ; Приложение №5 к ТЗ (электропитание систем автоматизации); расчётная модель КВАНТ (блок электрических нагрузок Лота №1)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ОВЭ75-БИ-Л1-КР — Компоновочные решения (планы, разрезы)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ОВЭ75-БИ-Л1-АСУ — Схема комплекса технических средств АСУ</w:t>
      </w:r>
    </w:p>
    <w:p>
      <w:pPr>
        <w:pStyle w:val="Heading2"/>
      </w:pPr>
      <w:r>
        <w:rPr>
          <w:b/>
          <w:sz w:val="24"/>
        </w:rPr>
        <w:t xml:space="preserve">1.2 Объём Приложения №3, принятый на стадии Базового инжиниринга</w:t>
      </w:r>
    </w:p>
    <w:p>
      <w:r>
        <w:rPr>
          <w:sz w:val="20"/>
        </w:rPr>
        <w:t xml:space="preserve">Приложение №3 к ТЗ содержит общие требования Заказчика к проектированию в части электроснабжения и электрооборудования и само оговаривает, что применение его требований и объём поставки в составе Базового инжиниринга уточняются по каждому лоту с учётом согласованных границ проектирования. Ниже приведён объём, принятый в настоящей ревизии; он подлежит согласованию с Заказчиком до начала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620"/>
        <w:gridCol w:w="3800"/>
        <w:gridCol w:w="2600"/>
        <w:gridCol w:w="2334"/>
      </w:tblGrid>
      <w:tr>
        <w:trPr>
          <w:tblHeader/>
          <w:cantSplit/>
        </w:trPr>
        <w:tc>
          <w:tcPr>
            <w:tcW w:w="620" w:type="dxa"/>
            <w:shd w:val="clear" w:fill="EFEFEF"/>
          </w:tcPr>
          <w:p>
            <w:r>
              <w:rPr>
                <w:b/>
                <w:sz w:val="15"/>
              </w:rPr>
              <w:t xml:space="preserve">Пункт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Приложения №3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Объём стадии Базового инжиниринга</w:t>
            </w:r>
          </w:p>
        </w:tc>
        <w:tc>
          <w:tcPr>
            <w:tcW w:w="2334" w:type="dxa"/>
            <w:shd w:val="clear" w:fill="EFEFEF"/>
          </w:tcPr>
          <w:p>
            <w:r>
              <w:rPr>
                <w:b/>
                <w:sz w:val="15"/>
              </w:rPr>
              <w:t xml:space="preserve">Относится к последующим стадиям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краткую характеристику источников электроснабжения. Точки подключения к электрическим сетям определяются в соответствии с Техническими условиями на подключение, запрашиваемыми в процессе проектирования на основании расчета электрических нагрузок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2: характеристика источников, уровни напряжения, границы поставки; расчёт нагрузок для запроса технических условий (раздел 4)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Точки подключения и разрешённая мощность — по техническим условиям сетевой организации; запрос выполняет Заказчик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обоснование принятой схемы электроснабжения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3: принятая схема электроснабжения и её обоснование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Уточнение схемы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количестве электроприемников, их установленной и расчетной мощности: сводная таблица всего технологического оборудования, являющегося потребителями электроэнергии, разбивка нагрузок по категориям надежности электроснабжения (I, II, III категории по ПУЭ), указание пусковых токов и коэффициентов одновременности, итоговая суммарная потребляемая мощность объекта (для запроса технических условий у сетевой организации)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4: перечень электроприёмников, установленная и расчётная мощность, категории надёжности, итог для запроса технических условий; пусковые характеристики приводов мощностью от 100 кВт — по каталожным данным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Пусковые токи и коэффициенты одновременности всех электроприёмников — по данным изготовителей приводов на детальном этапе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решения по воздушным и кабельным линиям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принципиальные решения по кабельным линиям, требования к исполнению и прокладке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Трассировка, кабельные журналы,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проектных решений по компенсации реактивной мощности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5: решения по компенсации реактивной мощности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и мощности компенсирующих устройств —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мощности сетевых и трансформаторных объектов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6: предварительная оценка трансформаторной мощности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Окончательный выбор — по утверждённой сводной таблице электроприёмников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E-08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мероприятия по заземлению (занулению) и молниезащите (в том числе выбор типа заземлителя: глубинные электроды, сетка, химические электроды)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мероприятия по заземлению и молниезащите, тип системы заземления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заземлителя — по удельному сопротивлению грунтов на основании инженерных изысканий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E-09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системы рабочего и аварийного освещения, выбор типов светильников для разных зон (промышленные, взрывозащищенные, антикоррозионные), определение зон аварийного и эвакуационного освещения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10: система рабочего и аварийного освещения, требования к исполнению по зонам, зоны аварийного и эвакуационного освещения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Светотехнический расчёт и выбор типов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E-10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схемы распределения электроэнергии на всех уровнях напряжения, в том числе схемы главных распределительных щитов (ГРЩ) и трансформаторных подстанций (ТП)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Разделы 3 и 14: принципиальные схемы распределения электроэнергии на всех уровнях напряжения, схемы главных распределительных устройств и подстанций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Полные схемы всех щитов 0,4 кВ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E-11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предварительный выбор сечений основных питающих кабелей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расчётные токи основных питающих линий и порядок предварительного выбора сечений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Окончательные сечения — после расчёта токов короткого замыкания по техническим условиям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Планы расположения электрооборудования и кабельных трасс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14: размещение основного электрооборудования и главные кабельные коридоры в составе компоновочных решений лота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Детальная трассировка кабелей и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Схемы заземления и молниезащиты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принципиальные решения по заземлению и молниезащите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Рабочие схемы сеток заземления и молниеприёмников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Расчет токов короткого замыкания для предварительного выбора оборудования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8: расчёт токов короткого замыкания для предварительного выбора оборудования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Расчёт уставок релейной защиты и карты селективности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Чертежи с нанесением взрывоопасных зон в соответствии с классами (по ГОСТ IEC 60079-10-1 / ПУЭ)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11: классификация взрывоопасных зон и требования к исполнению электрооборудования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Чертежи границ зон — после утверждения компоновочных решений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Спецификация основного оборудования и материалов с указанием технических характеристик для оборудования длительного цикла изготовления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12: предварительный перечень основного электрооборудования, включая оборудование длительного цикла изготовления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Спецификации кабельной продукции, кабельных конструкций и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Комплект опросных листов на основное электротехническое оборудование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13: перечень и состав опросных листов на основное электротехническое оборудование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Заполнение опросных листов — после согласования перечня оборудования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№3 к ТЗ (общие требования в части электроснабжения и электрооборудования); ТЗ на БИ ред. 4.1</w:t>
      </w:r>
    </w:p>
    <w:p>
      <w:r>
        <w:rPr>
          <w:sz w:val="20"/>
        </w:rPr>
        <w:t xml:space="preserve">Стоимостная часть электротехнического раздела — сбор технико-коммерческих предложений на основное и длинноцикловое электрооборудование и оценка стоимости комплектной поставки — выполняется в составе стоимостного блока лота.</w:t>
      </w:r>
    </w:p>
    <w:p>
      <w:pPr>
        <w:pStyle w:val="Heading2"/>
      </w:pPr>
      <w:r>
        <w:rPr>
          <w:b/>
          <w:sz w:val="24"/>
        </w:rPr>
        <w:t xml:space="preserve">1.3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ПУЭ (7 изд.)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Категории надёжности (п.1.2.17–1.2.21), выбор сечений, защитные меры; классы зон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СП 76.13330.2016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Электротехнические устройства — производство и приёмка электромонтажных работ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32144-2013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Нормы качества электроэнергии в точках присоединения (проверка при пуске 400-кВт двигателя)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СО 153-34.21.122-2003 и РД 34.21.122-87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Молниезащита здания, силосов, свечи аспирации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IEC 60079-10-1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Классификация взрывоопасных зон (мазутный узел) — требование Приложения №3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12.2.007.0-75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Электробезопасность изделий — в т.ч. агрегаты питания электрофильтров 80 кВ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ТР ТС 004/2011, ТР ТС 020/2011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Низковольтное оборудование и ЭМС</w:t>
            </w:r>
          </w:p>
        </w:tc>
      </w:tr>
    </w:tbl>
    <w:p>
      <w:r>
        <w:rPr>
          <w:sz w:val="20"/>
        </w:rPr>
        <w:t xml:space="preserve">Перечень приведён в объёме, необходимом для решений настоящей ревизии, и дополняется на последующих стадиях проектирования.</w:t>
      </w:r>
    </w:p>
    <w:p>
      <w:pPr>
        <w:pStyle w:val="Heading1"/>
      </w:pPr>
      <w:r>
        <w:rPr>
          <w:b/>
          <w:sz w:val="28"/>
        </w:rPr>
        <w:t xml:space="preserve">2. Источники электроснабжения и точки подключения</w:t>
      </w:r>
    </w:p>
    <w:p>
      <w:r>
        <w:rPr>
          <w:sz w:val="20"/>
        </w:rPr>
        <w:t xml:space="preserve">Электроснабжение цеха обжига предусматривается от существующих сетей промышленной площадки Заказчика. Схема и номинальные параметры питающих центров исходными данными не заданы; в настоящей ревизии источник принят обобщённо — распределительное устройство площадки на напряжении 6 кВ.</w:t>
      </w:r>
    </w:p>
    <w:p>
      <w:r>
        <w:rPr>
          <w:sz w:val="20"/>
        </w:rPr>
        <w:t xml:space="preserve">Наличие потребителей 6 кВ определено составом оборудования: электродвигатель дымососа мощностью 400 кВт при напряжении 6 000 В (два дымососа, один рабочий, второй резервный) — ИД ч.1 табл. 23. Поэтому принят ввод 6 кВ на распределительное устройство цеха с питанием потребителей 0,4 кВ от комплектной трансформаторной подстанции 6/0,4 кВ.</w:t>
      </w:r>
    </w:p>
    <w:p>
      <w:r>
        <w:rPr>
          <w:sz w:val="20"/>
        </w:rPr>
        <w:t xml:space="preserve">Граница поставки электроэнергии по ТЗ на БИ ред. 4.1 (п. 3.3.13) — уточняется при разработке БИ и ОТР по техническим условиям на подключение. Число, место и напряжение точек подключения определяются техническими условиями сетевой организации; расчёт электрических нагрузок для их запроса приведён в разделе 4 настоящего документа.</w:t>
      </w:r>
    </w:p>
    <w:p>
      <w:pPr>
        <w:pStyle w:val="Heading2"/>
      </w:pPr>
      <w:r>
        <w:rPr>
          <w:b/>
          <w:sz w:val="24"/>
        </w:rPr>
        <w:t xml:space="preserve">2.1 Порядок получения технических условий</w:t>
      </w:r>
    </w:p>
    <w:p>
      <w:r>
        <w:rPr>
          <w:sz w:val="20"/>
        </w:rPr>
        <w:t xml:space="preserve">Точки подключения к электрическим сетям определяются техническими условиями на технологическое присоединение, запрашиваемыми на основании расчёта электрических нагрузок. Распределение ответственности и последовательность действий приведены ниже и подлежат закреплению договором: сроки сетевой организации являются внешним условием и не относятся к графику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0"/>
        <w:gridCol w:w="1900"/>
        <w:gridCol w:w="3454"/>
      </w:tblGrid>
      <w:tr>
        <w:trPr>
          <w:tblHeader/>
          <w:cantSplit/>
        </w:trPr>
        <w:tc>
          <w:tcPr>
            <w:tcW w:w="4000" w:type="dxa"/>
            <w:shd w:val="clear" w:fill="EFEFEF"/>
          </w:tcPr>
          <w:p>
            <w:r>
              <w:rPr>
                <w:b/>
                <w:sz w:val="15"/>
              </w:rPr>
              <w:t xml:space="preserve">Мероприятие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Исполнитель</w:t>
            </w:r>
          </w:p>
        </w:tc>
        <w:tc>
          <w:tcPr>
            <w:tcW w:w="3454" w:type="dxa"/>
            <w:shd w:val="clear" w:fill="EFEFEF"/>
          </w:tcPr>
          <w:p>
            <w:r>
              <w:rPr>
                <w:b/>
                <w:sz w:val="15"/>
              </w:rPr>
              <w:t xml:space="preserve">Срок и условие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Расчёт электрических нагрузок лота для запроса технических условий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Выполнен в объёме настоящей ревизии; уточняется после утверждения перечня оборудования и получения предложений изготовителей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Сводная заявка на технологическое присоединение по комплексу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Формируется по сводной нагрузке комплекса — приведена в разделе 4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Запрос и получение технических условий у сетевой организации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Заказчик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Сроки определяются сетевой организацией и не входят в график выпуска БИ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Уточнение точек подключения, разрешённой мощности, требований к коэффициенту мощности и качеству электроэнергии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После получения технических условий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Проектирование питающих сетей до границы поставки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Генеральный проектировщик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На стадии ОТР по материалам БИ</w:t>
            </w:r>
          </w:p>
        </w:tc>
      </w:tr>
    </w:tbl>
    <w:p>
      <w:r>
        <w:rPr>
          <w:sz w:val="20"/>
        </w:rPr>
        <w:t xml:space="preserve">До получения технических условий принимаются следующие допущения: уровень напряжения питающей сети и мощность короткого замыкания в точке присоединения исходными данными не заданы; расчёты токов короткого замыкания и выбор аппаратов выполняются после их получения. Все численные значения настоящего раздела предварительные.</w:t>
      </w:r>
    </w:p>
    <w:p>
      <w:pPr>
        <w:pStyle w:val="Heading1"/>
      </w:pPr>
      <w:r>
        <w:rPr>
          <w:b/>
          <w:sz w:val="28"/>
        </w:rPr>
        <w:t xml:space="preserve">3. Обоснование принятой схемы электроснабжения</w:t>
      </w:r>
    </w:p>
    <w:p>
      <w:r>
        <w:rPr>
          <w:sz w:val="20"/>
        </w:rPr>
        <w:t xml:space="preserve">Принята схема с распределительным устройством 6 кВ цеха и двухтрансформаторной комплектной трансформаторной подстанцией 6/0,4 кВ, работающей с автоматическим вводом резерва на секционном выключателе. Электродвигатели 6 кВ (дымососы) подключаются к распределительному устройству 6 кВ непосредственно; потребители 0,4 кВ — от распределительного устройства низшего напряжения подстанции.</w:t>
      </w:r>
    </w:p>
    <w:p>
      <w:r>
        <w:rPr>
          <w:sz w:val="20"/>
        </w:rPr>
        <w:t xml:space="preserve">Секции распределительных устройств 6 кВ и 0,4 кВ работают раздельно с автоматическим вводом резерва: раздельная работа ограничивает токи короткого замыкания и позволяет выводить секцию в ремонт без остановки передела. Потребители I категории подключаются к разным секциям.</w:t>
      </w:r>
    </w:p>
    <w:p>
      <w:r>
        <w:rPr>
          <w:sz w:val="20"/>
        </w:rPr>
        <w:t xml:space="preserve">Для электродвигателя дымососа 400 кВт при напряжении 6 кВ рассматриваются прямой пуск с проверкой посадки напряжения по данным технических условий, устройство плавного пуска и преобразователь частоты. Преобразователь частоты предпочтителен: он одновременно выполняет функцию органа регулирования тяги, предусмотренного контурами регулирования тракта газоочистки. Решение принимается по результатам расчёта посадки напряжения после получения технических условий.</w:t>
      </w:r>
    </w:p>
    <w:p>
      <w:r>
        <w:rPr>
          <w:sz w:val="20"/>
        </w:rPr>
        <w:t xml:space="preserve">Агрегаты питания сухих электрофильтров (тип ОПМД-400: выпрямленное напряжение до 80 кВ, ток до 400 мА, потребляемая мощность около 32 кВт, рабочее напряжение 46,4–57,6 кВ по ИД ч.1 табл. 23) поставляются комплектно с электрофильтрами. Предусматриваются два агрегатных поста при двух электрофильтрах.</w:t>
      </w:r>
    </w:p>
    <w:p>
      <w:pPr>
        <w:pStyle w:val="Heading2"/>
      </w:pPr>
      <w:r>
        <w:rPr>
          <w:b/>
          <w:sz w:val="24"/>
        </w:rPr>
        <w:t xml:space="preserve">3.1 Основные решения и их обоснование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0"/>
        <w:gridCol w:w="5554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Решение</w:t>
            </w:r>
          </w:p>
        </w:tc>
        <w:tc>
          <w:tcPr>
            <w:tcW w:w="55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Ввод 6 кВ, распределительное устройство 6 кВ цеха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Наличие электродвигателей 6 кВ (дымосос 400 кВт, ИД ч.1 табл. 23)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Двухтрансформаторная подстанция 6/0,4 кВ с автоматическим вводом резерва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Потребители I категории: дымососы тракта, воздуходувка дутья, питательные насосы котла-утилизатора, аварийное освещение, системы автоматизации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Раздельная работа секций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Ограничение токов короткого замыкания; вывод секции в ремонт без остановки передела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Регулируемый привод дымососа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Регулирование разрежения под сводом печи предусмотрено контурами регулирования тракта; снижение посадки напряжения при пуске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Отдельная группа питания систем автоматизации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I категория, в части серверного оборудования — I категория особой группы (Приложение №5 к ТЗ)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Электрические нагрузки</w:t>
      </w:r>
    </w:p>
    <w:p>
      <w:pPr>
        <w:pStyle w:val="Heading2"/>
      </w:pPr>
      <w:r>
        <w:rPr>
          <w:b/>
          <w:sz w:val="24"/>
        </w:rPr>
        <w:t xml:space="preserve">4.1 Основание расчёта и стадия достоверности</w:t>
      </w:r>
    </w:p>
    <w:p>
      <w:r>
        <w:rPr>
          <w:sz w:val="20"/>
        </w:rPr>
        <w:t xml:space="preserve">Расчёт электрических нагрузок выполняется для запроса технических условий и для предварительного выбора трансформаторной мощности, аппаратов и проводников. Основание — нормированные исходными данными Заказчика мощности электроприёмников, перечень оборудования лота и расчётная модель проекта в части не нормированных исходными данными потребителей.</w:t>
      </w:r>
    </w:p>
    <w:p>
      <w:r>
        <w:rPr>
          <w:sz w:val="20"/>
        </w:rPr>
        <w:t xml:space="preserve">Значения разделены по достоверности: нормированные исходными данными Заказчика принимаются без изменения; полученные расчётом Исполнителя приводятся с указанием расчётного основания; оценочные значения приводятся диапазоном и помечены как ориентировочные. Мощности, не заданные ни исходными данными, ни расчётом, отнесены к уточнению по техническим предложениям изготовителей.</w:t>
      </w:r>
    </w:p>
    <w:p>
      <w:r>
        <w:rPr>
          <w:color w:val="666666"/>
          <w:sz w:val="17"/>
        </w:rPr>
        <w:t xml:space="preserve">Источник: ИД ч.1 (табл. 23 — характеристики оборудования, табл. 26 — расходы энергоресурсов); ТЗ на БИ ред. 4.1 (п. 3.3.13 — граница поставки электроэнергии, состав БИ по Лоту №1); Приложение №3 к ТЗ; Приложение №5 к ТЗ (электропитание систем автоматизации); расчётная модель КВАНТ (блок электрических нагрузок Лота №1)</w:t>
      </w:r>
    </w:p>
    <w:p>
      <w:pPr>
        <w:pStyle w:val="Heading2"/>
      </w:pPr>
      <w:r>
        <w:rPr>
          <w:b/>
          <w:sz w:val="24"/>
        </w:rPr>
        <w:t xml:space="preserve">4.2 Электроприёмники, определённые исходными данными</w:t>
      </w:r>
    </w:p>
    <w:p>
      <w:r>
        <w:rPr>
          <w:sz w:val="20"/>
        </w:rPr>
        <w:t xml:space="preserve">Исходные данные Заказчика нормируют мощности электроприёмников цеха обжига по участкам с указанием годового потребления. Ниже приведены нормированные значения; они приняты в расчёт нагрузок без изменения.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100"/>
        <w:gridCol w:w="2100"/>
        <w:gridCol w:w="2154"/>
      </w:tblGrid>
      <w:tr>
        <w:trPr>
          <w:tblHeader/>
          <w:cantSplit/>
        </w:trPr>
        <w:tc>
          <w:tcPr>
            <w:tcW w:w="51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Установленная мощность, кВт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Годовое потребление, тыс. кВт·ч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Бункеровка медного концентрата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ZC1200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1,5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ДН-У-1-16-40-1800-0-0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7,9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УКВ-320-Ц-60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18,4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145,7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Бункеровка кека NNH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ZC800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1,1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8,7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ДН-У-1-5-40-1800-0-0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0,8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5,9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УКВ-200-Ц-60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5,4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42,8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Бункеровка цементной меди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ZC300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0,8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5,9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ДН-У-1-3.2-40-1800-0-0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0,6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4,4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УКВ-200-Ц-37,5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3,4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26,9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Бункеровка оборотных материалов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ZC300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0,8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5,9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ДН-У-1-4-40-1800-0-0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0,6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4,4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УКВ-200-Ц-37,5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3,4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26,9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Приготовление и бункеровка шихты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Шнековый смеситель СШ-25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37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293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ZC1500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23,8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ДН-У-1-25-40-1800-0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1,5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УКВ-320-Ц-95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30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237,6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3,5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27,7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Газоочистка и тяга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Электропитание электрофильтра (80 кВ)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32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253,4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Электродвигатель дымососа ДН-15БНЖ (6 кВ)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400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3 168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Шнековый питатель выгрузки пылевого бункера КУ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23,8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Шлюзовый затвор выгрузки бункера циклона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2,2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23,8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Шлюзовый затвор выгрузки бункера электрофильтра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1,5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11,9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Охлаждение продуктов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 перемещения огарка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87,1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 перемещения пыли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118,8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Шнековый холодильник D2424-6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118,8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b/>
                <w:sz w:val="16"/>
              </w:rPr>
              <w:t xml:space="preserve">Итого по нормированным электроприёмникам</w:t>
            </w:r>
          </w:p>
        </w:tc>
        <w:tc>
          <w:tcPr>
            <w:tcW w:w="2100" w:type="dxa"/>
          </w:tcPr>
          <w:p>
            <w:r>
              <w:rPr>
                <w:b/>
                <w:sz w:val="16"/>
              </w:rPr>
              <w:t xml:space="preserve">592,2</w:t>
            </w:r>
          </w:p>
        </w:tc>
        <w:tc>
          <w:tcPr>
            <w:tcW w:w="2154" w:type="dxa"/>
          </w:tcPr>
          <w:p>
            <w:r>
              <w:rPr>
                <w:b/>
                <w:sz w:val="16"/>
              </w:rPr>
              <w:t xml:space="preserve"/>
            </w:r>
          </w:p>
        </w:tc>
      </w:tr>
    </w:tbl>
    <w:p>
      <w:r>
        <w:rPr>
          <w:color w:val="666666"/>
          <w:sz w:val="17"/>
        </w:rPr>
        <w:t xml:space="preserve">Источник: ИД ч.1 табл. 26 (расходы энергоресурсов по участкам цеха обжига)</w:t>
      </w:r>
    </w:p>
    <w:p>
      <w:r>
        <w:rPr>
          <w:sz w:val="20"/>
        </w:rPr>
        <w:t xml:space="preserve">Суммарная установленная мощность приведённых электроприёмников включает электродвигатель дымососа 400 кВт при напряжении 6 кВ и агрегат питания электрофильтра; остальные позиции относятся к напряжению 0,4 кВ. Установленная мощность потребителей 0,4 кВ по исходным данным составляет около 194 кВт при средней нагрузке 192 кВт, что согласуется с годовым потреблением 1,524 млн кВт·ч.</w:t>
      </w:r>
    </w:p>
    <w:p>
      <w:pPr>
        <w:pStyle w:val="Heading2"/>
      </w:pPr>
      <w:r>
        <w:rPr>
          <w:b/>
          <w:sz w:val="24"/>
        </w:rPr>
        <w:t xml:space="preserve">4.3 Электроприёмники, не определённые исходными данными</w:t>
      </w:r>
    </w:p>
    <w:p>
      <w:r>
        <w:rPr>
          <w:sz w:val="20"/>
        </w:rPr>
        <w:t xml:space="preserve">Перечисленные ниже потребители исходными данными не нормированы либо находятся вне границ поставки лота, но влияют на расчётную нагрузку и на заявку на технологическое присоединение. Их мощности получены расчётом Исполнителя либо оценены по аналогам и подлежат уточнению.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2800"/>
        <w:gridCol w:w="31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 (группа)</w:t>
            </w:r>
          </w:p>
        </w:tc>
        <w:tc>
          <w:tcPr>
            <w:tcW w:w="2800" w:type="dxa"/>
            <w:shd w:val="clear" w:fill="EFEFEF"/>
          </w:tcPr>
          <w:p>
            <w:r>
              <w:rPr>
                <w:b/>
                <w:sz w:val="15"/>
              </w:rPr>
              <w:t xml:space="preserve">Мощность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порядок уточнения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Воздуходувка дутья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≈220 кВт на валу (основной вариант дутья); ≈410 кВт (вспомогательный вариант)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Расчёт КВАНТ по объёмам дутья и конечному давлению 0,09–0,12 МПа изб.; уточняется выбором машины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Вакуум-станция участка фильтрации концентрата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60–90 кВт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Оценка Исполнителя по аналогам барабанных вакуум-фильтров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Дымососы и рукавные фильтры системы аспирации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45–75 кВт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Оценка Исполнителя; уточняется расчётом аспирации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Электроприводы трубопроводной арматуры, обогрев приборов, вентиляция, освещение, мостовые краны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Определяется по перечню арматуры и приборов и компоновочным решениям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4.4 Сводная таблица электроприёмников по перечню оборудования</w:t>
      </w:r>
    </w:p>
    <w:p>
      <w:r>
        <w:rPr>
          <w:sz w:val="20"/>
        </w:rPr>
        <w:t xml:space="preserve">Таблица построена по перечню основного и вспомогательного оборудования лота. Для позиций, мощность которых исходными данными не задана, значение определяется по техническим предложениям изготовителей после согласования перечня оборудования. Категории надёжности и режимы работы приведены предварительно по назначению оборудования; окончательное категорирование выполняется протоколом с Заказчиком.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50"/>
        <w:gridCol w:w="1350"/>
        <w:gridCol w:w="1850"/>
        <w:gridCol w:w="1350"/>
        <w:gridCol w:w="950"/>
        <w:gridCol w:w="1604"/>
      </w:tblGrid>
      <w:tr>
        <w:trPr>
          <w:tblHeader/>
          <w:cantSplit/>
        </w:trPr>
        <w:tc>
          <w:tcPr>
            <w:tcW w:w="225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0" w:type="dxa"/>
            <w:shd w:val="clear" w:fill="EFEFEF"/>
          </w:tcPr>
          <w:p>
            <w:r>
              <w:rPr>
                <w:b/>
                <w:sz w:val="15"/>
              </w:rPr>
              <w:t xml:space="preserve">Установленная мощность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Режим работы</w:t>
            </w:r>
          </w:p>
        </w:tc>
        <w:tc>
          <w:tcPr>
            <w:tcW w:w="9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16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Шихтоподготовка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Ленточные транспортёры (в т.ч. реверсивные)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3,4–30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Ленточные транспортёры для цементной меди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Шнековые транспортёры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 на подачу шихты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Шнековые транспортёры для цементной меди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Приёмные бункера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Концентрат 60 м³, кек 20 м³, цементна…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питатели и затворы выгрузки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Перечень оборудования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Расходные бункера шихты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питатели и затворы выгрузки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Перечень оборудования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Дисковый (тарельчатый) питатель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2×ZC-300, 1×ZC-800, 1×ZC-1200, 2×ZC-1500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0,75–3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Дозатор ленточный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1 шт. на X=3,2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0,55–1,5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Шнековый смеситель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37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Обжиг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3,5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Мазутная горелка (подогрев дутья)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Приводы арматуры и система розжига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Мазутная горелка (разогрев печи)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Приводы арматуры и система розжига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Печь кипящего слоя (КС)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приводы вспомогательных механизмов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Воздуходувка дутьевая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ТЗ на БИ, п. 3.4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≈220 кВт на валу (основной вариант); ≈410 кВт (вспомогательный)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Расчёт КВАНТ; уточняется выбором машины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Дроссельный затвор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1,0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Газоочистка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Питательные насосы и обдувочные аппараты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шлюзовый затвор выгрузки учтён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Агрегат питания: до 80 кВ, до 400 мА, потребляемая ≈32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Дымосос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400 кВт, 6 000 В, 1 500 об/мин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Охлаждение продуктов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Шнековый холодильник огарка и грубой пыли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15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Шнековый холодильник тонкой пыли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Отгрузка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Приёмный бункер охлаждённого огарка и грубой пыли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питатели и затворы выгрузки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Перечень оборудования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Приёмный бункер охлаждённой тонкой пыли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питатели и затворы выгрузки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Перечень оборудования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Фильтрация концентрата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Вакуум-станция 60–90 кВт (оценка)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Аспирация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Рукавный фильтр(ы) аспирации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Определяется расчётом системы аспирации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Дымосос(ы) аспирации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45–75 кВт суммарно (оценка)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Расчёт КВАНТ</w:t>
            </w:r>
          </w:p>
        </w:tc>
      </w:tr>
    </w:tbl>
    <w:p>
      <w:r>
        <w:rPr>
          <w:color w:val="666666"/>
          <w:sz w:val="17"/>
        </w:rPr>
        <w:t xml:space="preserve">Источник: Перечень основного и вспомогательного оборудования лота (ИД ч.1 табл. 24, ИД ч.2 табл. 4.1 и 4.2, ТЗ на БИ ред. 4.1); расчётная модель КВАНТ</w:t>
      </w:r>
    </w:p>
    <w:p>
      <w:r>
        <w:rPr>
          <w:sz w:val="20"/>
        </w:rPr>
        <w:t xml:space="preserve">Электроприёмники общего назначения — освещение, вентиляция и отопление помещений, электрообогрев приборов и трубопроводов, ремонтные потребители, подъёмно-транспортное оборудование — учитываются в расчёте нагрузок отдельными группами; их мощности определяются по компоновочным решениям и заданиям смежных разделов на стадии БИ.</w:t>
      </w:r>
    </w:p>
    <w:p>
      <w:pPr>
        <w:pStyle w:val="Heading2"/>
      </w:pPr>
      <w:r>
        <w:rPr>
          <w:b/>
          <w:sz w:val="24"/>
        </w:rPr>
        <w:t xml:space="preserve">4.5 Итоговые нагрузки лота и место в сводной нагрузке комплекса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400"/>
        <w:gridCol w:w="2600"/>
        <w:gridCol w:w="2354"/>
      </w:tblGrid>
      <w:tr>
        <w:trPr>
          <w:tblHeader/>
          <w:cantSplit/>
        </w:trPr>
        <w:tc>
          <w:tcPr>
            <w:tcW w:w="44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Установленная мощность на напряжении 0,4 кВ по нормированному в исходных данных оборудованию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≈194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26 (суммирование Исполнителем)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Средняя нагрузка по нормированному оборудованию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≈625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26: 192 кВт на 0,4 кВ, дымосос 400 кВт, агрегаты питания электрофильтров 32 кВт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Досчёт не нормированных исходными данными потребителей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≈351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КВАНТ: воздуходувка, вакуум-станция, аспирация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Средняя нагрузка лота с учётом досчёта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≈976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КВАНТ, блок электрических нагрузок Лота №1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Годовое потребление электроэнергии лотом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≈7,7 млн кВт·ч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КВАНТ: 976 кВт × 7 920 ч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Предварительная расчётная мощность цеха для запроса технических условий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1,1–1,4 МВт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Установленная мощность лота с резервами (ориентировочно)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1,6–1,9 МВт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</w:tbl>
    <w:p>
      <w:r>
        <w:rPr>
          <w:sz w:val="20"/>
        </w:rPr>
        <w:t xml:space="preserve">Сводная нагрузка комплекса, формируемая для запроса технических условий: средняя нагрузка около 17,3 МВт, установленная около 21 МВт. Доминирующая составляющая — выпрямление электроэкстракции Лота №3 (около 15,7 МВт средних). Составляющие по лотам: цех обжига около 0,98 МВт, участок купороса около 0,19 МВт, отделение электроэкстракции 16,07 МВт, склад готовой продукции около 0,08 МВт.</w:t>
      </w:r>
    </w:p>
    <w:p>
      <w:r>
        <w:rPr>
          <w:color w:val="666666"/>
          <w:sz w:val="17"/>
        </w:rPr>
        <w:t xml:space="preserve">Источник: Расчётная модель КВАНТ, сводный блок электрических нагрузок комплекса; ИД ч.1 табл. 26; ИД ч.2 табл. 8.5</w:t>
      </w:r>
    </w:p>
    <w:p>
      <w:pPr>
        <w:pStyle w:val="Heading2"/>
      </w:pPr>
      <w:r>
        <w:rPr>
          <w:b/>
          <w:sz w:val="24"/>
        </w:rPr>
        <w:t xml:space="preserve">4.6 Категории надёжности электроснабжения</w:t>
      </w:r>
    </w:p>
    <w:p>
      <w:r>
        <w:rPr>
          <w:sz w:val="20"/>
        </w:rPr>
        <w:t xml:space="preserve">Разбивка нагрузок по категориям надёжности выполнена по ПУЭ (п. 1.2.17–1.2.21) исходя из последствий перерыва электроснабжения. Категорирование предварительное и утверждается протоколом с Заказчиком на стадии БИ.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600"/>
        <w:gridCol w:w="1700"/>
        <w:gridCol w:w="4054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электроприёмников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Дымососы тракта газоочистки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Остановка эвакуации газа с содержанием диоксида серы до 16 % недопустима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Воздуходувка дутья, питательные насосы котла-утилизатора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Прекращение дутья и питания котла ведёт к аварийному состоянию печи и котла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Аварийное и эвакуационное освещение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Требования безопасности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Системы автоматизации технологического процесса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I, серверное оборудование — I категория особой группы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Приложение №5 к ТЗ: источники бесперебойного питания двойного преобразования не менее 10 мин с автоматическим байпасом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Тракты шихтоподготовки и отгрузки продуктов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компенсируется запасами в бункерах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Ремонтные и хозяйственные потребители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допустим</w:t>
            </w:r>
          </w:p>
        </w:tc>
      </w:tr>
    </w:tbl>
    <w:p>
      <w:r>
        <w:rPr>
          <w:sz w:val="20"/>
        </w:rPr>
        <w:t xml:space="preserve">Электропитание систем автоматизации выполняется по требованиям Приложения №5 к ТЗ: напряжение 230 В, 50 Гц, стабилизированное; серверное оборудование и инженерные станции — по I категории особой группы с источниками бесперебойного питания двойного преобразования и автоматическим переключением на сеть через устройство автоматического ввода резерва; средний уровень — с преобразованием в 24 В постоянного тока и резервированием; полевые приборы — от индивидуальных источников питания, для сигналов аналогового и дискретного ввода-вывода предусматриваются отдельные блоки питания.</w:t>
      </w:r>
    </w:p>
    <w:p>
      <w:pPr>
        <w:pStyle w:val="Heading2"/>
      </w:pPr>
      <w:r>
        <w:rPr>
          <w:b/>
          <w:sz w:val="24"/>
        </w:rPr>
        <w:t xml:space="preserve">4.7 Пусковые токи и коэффициенты одновременности</w:t>
      </w:r>
    </w:p>
    <w:p>
      <w:r>
        <w:rPr>
          <w:sz w:val="20"/>
        </w:rPr>
        <w:t xml:space="preserve">В составе лота имеются приводы единичной мощностью 100 кВт и выше: электродвигатели дымососов 400 кВт при напряжении 6 кВ и воздуходувка дутья мощностью на валу около 220 кВт в основном варианте дутья и около 410 кВт во вспомогательном. Для них пусковые характеристики принимаются по каталожным данным изготовителей и проверяются расчётом посадки напряжения после получения технических условий. Для остальных электроприёмников пусковые токи и коэффициенты одновременности определяются на детальном этапе по данным изготовителей приводов.</w:t>
      </w:r>
    </w:p>
    <w:p>
      <w:r>
        <w:rPr>
          <w:sz w:val="20"/>
        </w:rPr>
        <w:t xml:space="preserve">Коэффициенты спроса и одновременности для расчёта нагрузок принимаются по группам электроприёмников; принятые значения приведены в разделе 6 и помечены как ориентировочные. Уточнение выполняется по утверждённой сводной таблице электроприёмников и данным изготовителей.</w:t>
      </w:r>
    </w:p>
    <w:p>
      <w:pPr>
        <w:pStyle w:val="Heading1"/>
      </w:pPr>
      <w:r>
        <w:rPr>
          <w:b/>
          <w:sz w:val="28"/>
        </w:rPr>
        <w:t xml:space="preserve">5. Компенсация реактивной мощности</w:t>
      </w:r>
    </w:p>
    <w:p>
      <w:r>
        <w:rPr>
          <w:sz w:val="20"/>
        </w:rPr>
        <w:t xml:space="preserve">Компенсация реактивной мощности предусматривается конденсаторными установками на напряжении 0,4 кВ с автоматическим регулированием по ступеням. Целевое значение коэффициента мощности — не ниже 0,95; окончательное значение устанавливается техническими условиями сетевой организации.</w:t>
      </w:r>
    </w:p>
    <w:p>
      <w:r>
        <w:rPr>
          <w:sz w:val="20"/>
        </w:rPr>
        <w:t xml:space="preserve">При применении преобразователей частоты для дымососа и воздуходувки учитывается вносимое ими искажение формы кривой тока: конденсаторные установки выполняются с антирезонансными реакторами, при необходимости — с фильтрами высших гармоник. Нормы качества электроэнергии в точке присоединения принимаются по ГОСТ 32144-2013 и проверяются при пуске электродвигателя 400 кВт.</w:t>
      </w:r>
    </w:p>
    <w:p>
      <w:r>
        <w:rPr>
          <w:sz w:val="20"/>
        </w:rPr>
        <w:t xml:space="preserve">Мощность и состав компенсирующих устройств определяются по утверждённой сводной таблице электроприёмников и полученным техническим условиям.</w:t>
      </w:r>
    </w:p>
    <w:p>
      <w:pPr>
        <w:pStyle w:val="Heading1"/>
      </w:pPr>
      <w:r>
        <w:rPr>
          <w:b/>
          <w:sz w:val="28"/>
        </w:rPr>
        <w:t xml:space="preserve">6. Мощности сетевых и трансформаторных объектов</w:t>
      </w:r>
    </w:p>
    <w:p>
      <w:r>
        <w:rPr>
          <w:sz w:val="20"/>
        </w:rPr>
        <w:t xml:space="preserve">Оценка выполнена по установленной мощности электроприёмников с применением коэффициентов спроса и коэффициента мощности. Коэффициенты приняты ориентировочно: сводная таблица электроприёмников с фактическими коэффициентами формируется после согласования перечня оборудования и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2600"/>
        <w:gridCol w:w="25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Установленная мощность потребителей 0,4 кВ (нормированная и досчитанная)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ориентировочно 0,6–0,9 МВт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Раздел 4 настоящего документа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спроса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0,7–0,8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сводной таблицей электроприёмников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мощности после компенсации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0,95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техническими условиями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Расчётная полная мощность на стороне 0,4 кВ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ориентировочно 0,45–0,75 МВ·А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Расчёт по принятым коэффициентам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Принятая мощность трансформаторов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предварительно 2 × 1 000 кВ·А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Решение БИ: двухтрансформаторная подстанция 6/0,4 кВ</w:t>
            </w:r>
          </w:p>
        </w:tc>
      </w:tr>
    </w:tbl>
    <w:p>
      <w:r>
        <w:rPr>
          <w:sz w:val="20"/>
        </w:rPr>
        <w:t xml:space="preserve">Двухтрансформаторное исполнение принято по условию: при отказе одного трансформатора второй несёт нагрузку потребителей I и II категорий с учётом допустимой перегрузки. Мощность трансформаторов подлежит уточнению по утверждённой сводной таблице электроприёмников и полученным техническим условиям; приведённые коэффициенты приняты ориентировочно.</w:t>
      </w:r>
    </w:p>
    <w:p>
      <w:r>
        <w:rPr>
          <w:sz w:val="20"/>
        </w:rPr>
        <w:t xml:space="preserve">Требования к трансформаторным объектам: сухие трансформаторы или трансформаторы с негорючим заполнением при размещении в здании; исполнение по условиям среды помещения; контроль температуры обмоток с выводом сигналов в систему автоматизации; учёт электроэнергии на вводах в объёме требований Заказчика.</w:t>
      </w:r>
    </w:p>
    <w:p>
      <w:pPr>
        <w:pStyle w:val="Heading1"/>
      </w:pPr>
      <w:r>
        <w:rPr>
          <w:b/>
          <w:sz w:val="28"/>
        </w:rPr>
        <w:t xml:space="preserve">7. Принципиальные решения по линиям электропередачи и выбор сечений</w:t>
      </w:r>
    </w:p>
    <w:p>
      <w:r>
        <w:rPr>
          <w:sz w:val="20"/>
        </w:rPr>
        <w:t xml:space="preserve">Воздушные линии в границах поставки лота не предусматриваются: распределение электроэнергии выполняется кабельными линиями внутри здания и по кабельным сооружениям площадки. Наружные линии до границы поставки относятся к разделу генерального проектировщика.</w:t>
      </w:r>
    </w:p>
    <w:p>
      <w:pPr>
        <w:pStyle w:val="Heading2"/>
      </w:pPr>
      <w:r>
        <w:rPr>
          <w:b/>
          <w:sz w:val="24"/>
        </w:rPr>
        <w:t xml:space="preserve">7.1 Требования к кабельным линиям</w:t>
      </w:r>
    </w:p>
    <w:p>
      <w:r>
        <w:rPr>
          <w:sz w:val="20"/>
        </w:rPr>
        <w:t xml:space="preserve">— Кабели с медными жилами; изоляция и оболочка, не распространяющие горение, с пониженным дымогазовыделением.</w:t>
      </w:r>
    </w:p>
    <w:p>
      <w:r>
        <w:rPr>
          <w:sz w:val="20"/>
        </w:rPr>
        <w:t xml:space="preserve">— На участках вблизи печи кипящего слоя, котла-утилизатора и газоходов — кабели термостойкого исполнения; трассы выносятся из зон повышенной температуры и защищаются от теплового излучения.</w:t>
      </w:r>
    </w:p>
    <w:p>
      <w:r>
        <w:rPr>
          <w:sz w:val="20"/>
        </w:rPr>
        <w:t xml:space="preserve">— Кабели систем автоматизации прокладываются отдельно от силовых; прокладка трасс промышленной автоматизации в непосредственной близости от силовых коммуникаций не допускается (Приложение №5 к ТЗ). Кабели аналоговых, дискретных и кодовых сигналов — экранированные, с заземлением экрана.</w:t>
      </w:r>
    </w:p>
    <w:p>
      <w:r>
        <w:rPr>
          <w:sz w:val="20"/>
        </w:rPr>
        <w:t xml:space="preserve">— У мазутного узла кабельные линии и кабельные конструкции выполняются с учётом класса взрывоопасной зоны (раздел 11).</w:t>
      </w:r>
    </w:p>
    <w:p>
      <w:pPr>
        <w:pStyle w:val="Heading2"/>
      </w:pPr>
      <w:r>
        <w:rPr>
          <w:b/>
          <w:sz w:val="24"/>
        </w:rPr>
        <w:t xml:space="preserve">7.2 Порядок предварительного выбора сечений</w:t>
      </w:r>
    </w:p>
    <w:p>
      <w:r>
        <w:rPr>
          <w:sz w:val="20"/>
        </w:rPr>
        <w:t xml:space="preserve">Сечения основных питающих кабелей выбираются последовательно по следующим условиям: по длительно допустимому току с учётом способа прокладки, числа совместно проложенных кабелей и расчётной температуры среды; по допустимой потере напряжения в нормальном режиме и при пуске наибольшего электродвигателя; по термической стойкости к току короткого замыкания (после выполнения расчёта раздела 8); по условию срабатывания защиты при однофазном коротком замыкании в сети 0,4 кВ; по механической прочности.</w:t>
      </w:r>
    </w:p>
    <w:p>
      <w:r>
        <w:rPr>
          <w:sz w:val="20"/>
        </w:rPr>
        <w:t xml:space="preserve">Расчётный ток линии определяется по установленной мощности с учётом коэффициента мощности и коэффициента полезного действия электроприёмника. Значения коэффициентов на настоящей стадии приняты ориентировочно и уточняются по данным изготовителей.</w:t>
      </w:r>
    </w:p>
    <w:p>
      <w:pPr>
        <w:pStyle w:val="Heading2"/>
      </w:pPr>
      <w:r>
        <w:rPr>
          <w:b/>
          <w:sz w:val="24"/>
        </w:rPr>
        <w:t xml:space="preserve">7.3 Основные питающие линии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2000"/>
        <w:gridCol w:w="1150"/>
        <w:gridCol w:w="2000"/>
        <w:gridCol w:w="180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Линия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Нагрузка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Напряжение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Расчётный ток (предварительно)</w:t>
            </w:r>
          </w:p>
        </w:tc>
        <w:tc>
          <w:tcPr>
            <w:tcW w:w="180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Ввод на распределительное устройство 6 кВ цеха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Расчётная мощность цеха 1,1–1,4 МВт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6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120–150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Число вводов и сечение — по техническим условиям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электродвигателю дымососа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400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6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48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Две линии по числу дымососов, второй резервный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трансформатору подстанции 6/0,4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1 000 кВ·А (предварительно)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6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96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По числу трансформаторов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электродвигателю воздуходувки дутья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≈220 кВт на валу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или 6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400 А при 0,4 кВ; 27 А при 6 кВ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Напряжение определяется выбором машины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Магистрали распределительного устройства 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По секциям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Определяется сводной таблицей электроприёмников</w:t>
            </w:r>
          </w:p>
        </w:tc>
      </w:tr>
    </w:tbl>
    <w:p>
      <w:r>
        <w:rPr>
          <w:sz w:val="20"/>
        </w:rPr>
        <w:t xml:space="preserve">Приведённые токи предварительные: они получены по установленной мощности и принятым ориентировочно коэффициентам. Сечения кабелей определяются после утверждения сводной таблицы электроприёмников и получения технических условий; кабельные журналы и планы прокладки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8. Расчёт токов короткого замыкания</w:t>
      </w:r>
    </w:p>
    <w:p>
      <w:r>
        <w:rPr>
          <w:sz w:val="20"/>
        </w:rPr>
        <w:t xml:space="preserve">Расчёт выполняется в объёме, необходимом для предварительного выбора оборудования. Исходные данные, требуемые для расчёта: мощность (ток) короткого замыкания в точке присоединения по техническим условиям сетевой организации; параметры силовых трансформаторов; длины, сечения и способ прокладки питающих линий; параметры электродвигателей, участвующих в подпитке места короткого замыкания.</w:t>
      </w:r>
    </w:p>
    <w:p>
      <w:r>
        <w:rPr>
          <w:sz w:val="20"/>
        </w:rPr>
        <w:t xml:space="preserve">На момент выпуска настоящей ревизии технические условия не получены, поэтому мощность короткого замыкания в точке присоединения не задана. Расчёт выполняется после её получения; в настоящем документе зафиксирован его объём.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Расчётные точки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Шины распределительного устройства высшего напряжения, шины 0,4 кВ подстанции, концы основных питающих линий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Определяемые величины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Начальное действующее значение периодической составляющей тока трёхфазного короткого замыкания, ударный ток, установившийся ток; для сети 0,4 кВ — ток однофазного короткого замыкания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Проверяемое оборудование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Коммутационные аппараты — по отключающей способности и электродинамической стойкости; проводники и шины — по термической стойкости; аппараты защиты — по чувствительности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Учёт подпитки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От электродвигателей напряжением выше 1 кВ и от синхронных машин площадки — по данным технических условий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Результат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Предварительный выбор аппаратов и проводников; исходные данные для задания на релейную защиту</w:t>
            </w:r>
          </w:p>
        </w:tc>
      </w:tr>
    </w:tbl>
    <w:p>
      <w:r>
        <w:rPr>
          <w:sz w:val="20"/>
        </w:rPr>
        <w:t xml:space="preserve">Расчёт уставок релейной защиты, карты селективности и проверка чувствительности защит в полном объёме относятся к детальному этапу проектирования.</w:t>
      </w:r>
    </w:p>
    <w:p>
      <w:pPr>
        <w:pStyle w:val="Heading1"/>
      </w:pPr>
      <w:r>
        <w:rPr>
          <w:b/>
          <w:sz w:val="28"/>
        </w:rPr>
        <w:t xml:space="preserve">9. Заземление, уравнивание потенциалов и молниезащита</w:t>
      </w:r>
    </w:p>
    <w:p>
      <w:r>
        <w:rPr>
          <w:sz w:val="20"/>
        </w:rPr>
        <w:t xml:space="preserve">Система заземления сети 0,4 кВ — TN-S. Заземляющее устройство выполняется с использованием железобетонных фундаментов здания и наружного контура; выполняется основная система уравнивания потенциалов с присоединением металлических конструкций, трубопроводов и газоходов.</w:t>
      </w:r>
    </w:p>
    <w:p>
      <w:r>
        <w:rPr>
          <w:sz w:val="20"/>
        </w:rPr>
        <w:t xml:space="preserve">Агрегаты питания электрофильтров (выпрямленное напряжение до 80 кВ) присоединяются к отдельному контуру заземления; предусматриваются ограждение и блокировка доступа в изоляторные коробки, а также заземляющие разъединители для безопасного обслуживания.</w:t>
      </w:r>
    </w:p>
    <w:p>
      <w:r>
        <w:rPr>
          <w:sz w:val="20"/>
        </w:rPr>
        <w:t xml:space="preserve">Молниезащита здания цеха и наружных сооружений (силосы, свеча системы аспирации, газоход) выполняется по СО 153-34.21.122-2003 и РД 34.21.122-87. Категория молниезащиты и зона защиты определяются по компоновочным решениям и высотным отметкам сооружений.</w:t>
      </w:r>
    </w:p>
    <w:p>
      <w:r>
        <w:rPr>
          <w:sz w:val="20"/>
        </w:rPr>
        <w:t xml:space="preserve">Тип заземлителя (глубинные электроды, сетка, электроды с заполнением) определяется по удельному сопротивлению грунтов на основании инженерных изысканий и относится к детальному этапу проектирования.</w:t>
      </w:r>
    </w:p>
    <w:p>
      <w:r>
        <w:rPr>
          <w:sz w:val="20"/>
        </w:rPr>
        <w:t xml:space="preserve">Принципиальная схема заземления и молниезащиты приводится в составе настоящего документа и компоновочных решений лота; рабочие схемы сеток заземления и молниеприёмных устройств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10. Электрическое освещение</w:t>
      </w:r>
    </w:p>
    <w:p>
      <w:r>
        <w:rPr>
          <w:sz w:val="20"/>
        </w:rPr>
        <w:t xml:space="preserve">Предусматриваются рабочее, аварийное (освещение безопасности и эвакуационное) и ремонтное освещение. Нормируемая освещённость принимается по СП 52.13330 в зависимости от разряда зрительных работ по зонам: обслуживание печи и газоочистки, шихтоподготовка, отгрузка продуктов, помещения управления и электротехнические помещения.</w:t>
      </w:r>
    </w:p>
    <w:p>
      <w:r>
        <w:rPr>
          <w:sz w:val="20"/>
        </w:rPr>
        <w:t xml:space="preserve">Исполнение светильников: в производственных зонах — пылезащищённое промышленное; вблизи печи и газоходов — с учётом повышенной температуры; в зоне мазутного узла — во взрывозащищённом исполнении по классу взрывоопасной зоны (раздел 11).</w:t>
      </w:r>
    </w:p>
    <w:p>
      <w:r>
        <w:rPr>
          <w:sz w:val="20"/>
        </w:rPr>
        <w:t xml:space="preserve">Аварийное освещение относится к I категории надёжности; питание выполняется от независимого источника с автоматическим переключением. Зоны эвакуационного освещения — пути эвакуации, лестницы, площадки обслуживания на отметках этажерок, зоны у распределительных устройств.</w:t>
      </w:r>
    </w:p>
    <w:p>
      <w:r>
        <w:rPr>
          <w:sz w:val="20"/>
        </w:rPr>
        <w:t xml:space="preserve">Светотехнический расчёт и выбор типов светильников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11. Взрывоопасные зоны и исполнение электрооборудования</w:t>
      </w:r>
    </w:p>
    <w:p>
      <w:r>
        <w:rPr>
          <w:sz w:val="20"/>
        </w:rPr>
        <w:t xml:space="preserve">Взрывоопасные зоны в границах лота образуются в зоне мазутного хозяйства. Мазут марки М-100 относится к горючим жидкостям с температурой вспышки выше 61 °С; взрывоопасные зоны нормируются локально у форсуночного узла и у мест возможного выделения паров при разогреве и циркуляции топлива. Класс зоны определяется по ГОСТ IEC 60079-10-1 и ПУЭ.</w:t>
      </w:r>
    </w:p>
    <w:p>
      <w:r>
        <w:rPr>
          <w:sz w:val="20"/>
        </w:rPr>
        <w:t xml:space="preserve">Кислородопровод и узел ввода кислорода в печь относятся к зонам повышенной пожарной опасности: предусматриваются обезжиривание оборудования и трубопроводов, запрет применения масел и органических материалов, специальные требования к арматуре и уплотнениям. Взрывоопасная зона по горючим газам при этом не образуется — кислород негорюч, но является окислителем.</w:t>
      </w:r>
    </w:p>
    <w:p>
      <w:r>
        <w:rPr>
          <w:sz w:val="20"/>
        </w:rPr>
        <w:t xml:space="preserve">Электрооборудование, устанавливаемое во взрывоопасных зонах, принимается во взрывозащищённом исполнении с уровнем и видом взрывозащиты по классу зоны и категории смеси; кабельные вводы и осветительные приборы — соответствующего исполнения.</w:t>
      </w:r>
    </w:p>
    <w:p>
      <w:r>
        <w:rPr>
          <w:sz w:val="20"/>
        </w:rPr>
        <w:t xml:space="preserve">Чертежи с нанесением границ взрывоопасных зон выпускаются после утверждения компоновочных решений мазутного узла; в настоящей ревизии приведены принципиальные требования.</w:t>
      </w:r>
    </w:p>
    <w:p>
      <w:pPr>
        <w:pStyle w:val="Heading1"/>
      </w:pPr>
      <w:r>
        <w:rPr>
          <w:b/>
          <w:sz w:val="28"/>
        </w:rPr>
        <w:t xml:space="preserve">12. Предварительный перечень основного электрооборудования</w:t>
      </w:r>
    </w:p>
    <w:p>
      <w:r>
        <w:rPr>
          <w:sz w:val="20"/>
        </w:rPr>
        <w:t xml:space="preserve">Перечень предварительный: он определяет состав основного электрооборудования, необходимый для запроса технико-коммерческих предложений и для оценки стоимости поставки. Технические характеристики уточняются по утверждённой сводной таблице электроприёмников, результатам расчёта токов короткого замыкания и техническим предложениям изготовителей. Кабельная продукция, кабельные конструкции и светильники относятся к материалам и специфицируются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3900"/>
        <w:gridCol w:w="1100"/>
        <w:gridCol w:w="18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и предварительная характеристика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Ячейки распределительного устройства 6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Вводные, секционная, отходящие к трансформаторам и электродвигателям; ток отключения — по расчёту токов короткого замыкания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Число ячеек уточняется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Силовые трансформаторы 6/0,4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Предварительно 2 × 1 000 кВ·А, с автоматическим вводом резерва на секционном выключателе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Мощность уточняется по сводной таблице электроприёмников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Распределительное устройство 0,4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Двухсекционное, с автоматическим вводом резерва; отходящие линии технологических групп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 комплект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Преобразователь частоты либо устройство плавного пуска для дымососа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6 кВ, 400 кВт; функция регулирования тяги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1–2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Решение по результатам расчёта посадки напряжения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Преобразователь частоты воздуходувки дутья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Мощность и напряжение — по выбору машины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выбором воздуходувки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Установка компенсации реактивной мощности 0,4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Регулируемая, с антирезонансными реакторами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расчёту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Мощность по техническим условиям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Агрегаты питания электрофильтров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Тип ОПМД-400: выпрямленное напряжение до 80 кВ, ток до 400 мА, потребляемая мощность около 32 кВт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агрегатных поста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Поставка комплектно с электрофильтрами (ИД ч.1 табл. 23)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Источники бесперебойного питания систем автоматизации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Двойного преобразования, автономная работа не менее 10 мин, автоматический байпас, сетевые платы с поддержкой SNMP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 автоматизации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Дизель-генераторная установка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Рассматривается при обосновании — для безаварийного останова при потере питания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результатам анализа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Необходимость определяется на стадии БИ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Щиты освещения, обогрева приборов и ремонтных потребителей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12.1 Электрооборудование длительного цикла изготовления</w:t>
      </w:r>
    </w:p>
    <w:p>
      <w:r>
        <w:rPr>
          <w:sz w:val="20"/>
        </w:rPr>
        <w:t xml:space="preserve">К электрооборудованию длительного цикла изготовления в составе лота относятся силовые трансформаторы, ячейки распределительных устройств и преобразователи частоты средней и большой мощности. Исходные требования и сроки изготовления по этим позициям сведены в документе ОВЭ75-БИ-Л1-ДЦ; настоящий документ выдаёт для них электротехнические параметры — напряжение, мощность, расчётный ток короткого замыкания и требования к исполнению.</w:t>
      </w:r>
    </w:p>
    <w:p>
      <w:r>
        <w:rPr>
          <w:sz w:val="20"/>
        </w:rPr>
        <w:t xml:space="preserve">Сроки изготовления электрооборудования исходными данными не заданы и подтверждаются техническими предложениями изготовителей.</w:t>
      </w:r>
    </w:p>
    <w:p>
      <w:pPr>
        <w:pStyle w:val="Heading1"/>
      </w:pPr>
      <w:r>
        <w:rPr>
          <w:b/>
          <w:sz w:val="28"/>
        </w:rPr>
        <w:t xml:space="preserve">13. Опросные листы на основное электротехническое оборудование</w:t>
      </w:r>
    </w:p>
    <w:p>
      <w:r>
        <w:rPr>
          <w:sz w:val="20"/>
        </w:rPr>
        <w:t xml:space="preserve">Комплект опросных листов выдаётся на основное электротехническое оборудование лота. Опросные листы на технологическое оборудование выпускаются отдельным альбомом; настоящий раздел определяет состав электротехнической части.</w:t>
      </w:r>
    </w:p>
    <w:p>
      <w:r>
        <w:rPr>
          <w:sz w:val="20"/>
        </w:rPr>
        <w:t xml:space="preserve">Перечень опросных листов:</w:t>
      </w:r>
    </w:p>
    <w:p>
      <w:r>
        <w:rPr>
          <w:sz w:val="20"/>
        </w:rPr>
        <w:t xml:space="preserve">— Силовой трансформатор 6/0,4 кВ комплектной трансформаторной подстанции</w:t>
      </w:r>
    </w:p>
    <w:p>
      <w:r>
        <w:rPr>
          <w:sz w:val="20"/>
        </w:rPr>
        <w:t xml:space="preserve">— Ячейки распределительного устройства 6 кВ</w:t>
      </w:r>
    </w:p>
    <w:p>
      <w:r>
        <w:rPr>
          <w:sz w:val="20"/>
        </w:rPr>
        <w:t xml:space="preserve">— Распределительное устройство 0,4 кВ</w:t>
      </w:r>
    </w:p>
    <w:p>
      <w:r>
        <w:rPr>
          <w:sz w:val="20"/>
        </w:rPr>
        <w:t xml:space="preserve">— Преобразователь частоты (устройство плавного пуска) 6 кВ для привода дымососа</w:t>
      </w:r>
    </w:p>
    <w:p>
      <w:r>
        <w:rPr>
          <w:sz w:val="20"/>
        </w:rPr>
        <w:t xml:space="preserve">— Преобразователь частоты привода воздуходувки дутья</w:t>
      </w:r>
    </w:p>
    <w:p>
      <w:r>
        <w:rPr>
          <w:sz w:val="20"/>
        </w:rPr>
        <w:t xml:space="preserve">— Установка компенсации реактивной мощности 0,4 кВ</w:t>
      </w:r>
    </w:p>
    <w:p>
      <w:r>
        <w:rPr>
          <w:sz w:val="20"/>
        </w:rPr>
        <w:t xml:space="preserve">— Источник бесперебойного питания систем автоматизации</w:t>
      </w:r>
    </w:p>
    <w:p>
      <w:r>
        <w:rPr>
          <w:sz w:val="20"/>
        </w:rPr>
        <w:t xml:space="preserve">Состав данных опросного листа:</w:t>
      </w:r>
    </w:p>
    <w:p>
      <w:r>
        <w:rPr>
          <w:sz w:val="20"/>
        </w:rPr>
        <w:t xml:space="preserve">— назначение, место установки и характеристика окружающей среды (температура, запылённость, химическая активность, наличие взрывоопасной зоны)</w:t>
      </w:r>
    </w:p>
    <w:p>
      <w:r>
        <w:rPr>
          <w:sz w:val="20"/>
        </w:rPr>
        <w:t xml:space="preserve">— номинальное напряжение, число фаз и частота; для трансформаторов — схема и группа соединения обмоток, напряжение короткого замыкания</w:t>
      </w:r>
    </w:p>
    <w:p>
      <w:r>
        <w:rPr>
          <w:sz w:val="20"/>
        </w:rPr>
        <w:t xml:space="preserve">— номинальная мощность (ток), режим работы, допустимая перегрузка</w:t>
      </w:r>
    </w:p>
    <w:p>
      <w:r>
        <w:rPr>
          <w:sz w:val="20"/>
        </w:rPr>
        <w:t xml:space="preserve">— расчётный ток короткого замыкания в точке установки; требования к электродинамической и термической стойкости, отключающей способности</w:t>
      </w:r>
    </w:p>
    <w:p>
      <w:r>
        <w:rPr>
          <w:sz w:val="20"/>
        </w:rPr>
        <w:t xml:space="preserve">— степень защиты оболочки по ГОСТ 14254-2015, климатическое исполнение и категория размещения</w:t>
      </w:r>
    </w:p>
    <w:p>
      <w:r>
        <w:rPr>
          <w:sz w:val="20"/>
        </w:rPr>
        <w:t xml:space="preserve">— требования к системе заземления и к присоединению защитных проводников</w:t>
      </w:r>
    </w:p>
    <w:p>
      <w:r>
        <w:rPr>
          <w:sz w:val="20"/>
        </w:rPr>
        <w:t xml:space="preserve">— состав измерений, защит и сигнализации; интерфейс с системой автоматизации (протокол, состав передаваемых сигналов)</w:t>
      </w:r>
    </w:p>
    <w:p>
      <w:r>
        <w:rPr>
          <w:sz w:val="20"/>
        </w:rPr>
        <w:t xml:space="preserve">— габариты, масса, способ доставки и монтажа, требования к помещению</w:t>
      </w:r>
    </w:p>
    <w:p>
      <w:r>
        <w:rPr>
          <w:sz w:val="20"/>
        </w:rPr>
        <w:t xml:space="preserve">— комплектность поставки, запасные части на два года эксплуатации, шефмонтаж и пусконаладка, гарантийные обязательства</w:t>
      </w:r>
    </w:p>
    <w:p>
      <w:r>
        <w:rPr>
          <w:sz w:val="20"/>
        </w:rPr>
        <w:t xml:space="preserve">— подтверждение соответствия ТР ТС 004/2011 и ТР ТС 020/2011; срок изготовления и поставки</w:t>
      </w:r>
    </w:p>
    <w:p>
      <w:r>
        <w:rPr>
          <w:sz w:val="20"/>
        </w:rPr>
        <w:t xml:space="preserve">Опросные листы заполняются после согласования перечня основного электрооборудования и используются для запроса технико-коммерческих предложений. Позиции, не определённые на настоящей стадии, помечаются как уточняемые по техническим предложениям изготовителя.</w:t>
      </w:r>
    </w:p>
    <w:p>
      <w:pPr>
        <w:pStyle w:val="Heading1"/>
      </w:pPr>
      <w:r>
        <w:rPr>
          <w:b/>
          <w:sz w:val="28"/>
        </w:rPr>
        <w:t xml:space="preserve">14. Графическая часть и планы расположения</w:t>
      </w:r>
    </w:p>
    <w:p>
      <w:r>
        <w:rPr>
          <w:sz w:val="20"/>
        </w:rPr>
        <w:t xml:space="preserve">Состав графических материалов электротехнической части по лоту приведён ниже. Размещение основного электрооборудования и главные кабельные коридоры показываются в составе компоновочных решений; детальная трассировка кабелей, кабельные журналы и планы прокладки выполняются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и место выпуска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Однолинейная схема электроснабжения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Главные цепи 6 и 0,4 кВ; выпускается в составе БИ после утверждения сводной таблицы электроприёмников и получения технических условий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Планы расположения основного электрооборудования и главные кабельные коридоры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В составе компоновочных решений лота — ОВЭ75-БИ-Л1-КР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Схема комплекса технических средств систем автоматизации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Отдельный лист выпуска — ОВЭ75-БИ-Л1-АСУ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Чертежи с нанесением границ взрывоопасных зон мазутного узла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Выпускаются после утверждения компоновочных решений мазутного хозяйства</w:t>
            </w:r>
          </w:p>
        </w:tc>
      </w:tr>
    </w:tbl>
    <w:p>
      <w:r>
        <w:rPr>
          <w:sz w:val="20"/>
        </w:rPr>
        <w:t xml:space="preserve">Требования к размещению электротехнического оборудования: шкафы систем автоматизации не устанавливаются в помещениях электроустановок; силовое оборудование (преобразователи частоты и подобное) и оборудование систем автоматизации размещаются в разных шкафах; средства промышленной автоматизации размещаются на высоте до 1 700 мм от уровня обслуживания, чтобы исключить применение лестниц и стремянок (Приложение №5 к ТЗ).</w:t>
      </w:r>
    </w:p>
    <w:p>
      <w:pPr>
        <w:pStyle w:val="Heading1"/>
      </w:pPr>
      <w:r>
        <w:rPr>
          <w:b/>
          <w:sz w:val="28"/>
        </w:rPr>
        <w:t xml:space="preserve">15.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решения Заказчика, технических условий сетевой организации, данных инженерных изысканий либо технических предложений изготовителей. Каждая позиция закрывается до выдачи материалов на этап основных технических решений.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технические условия на технологическое присоединение (точки подключения 6 кВ, разрешённая мощность) — запрашиваются Заказчиком по расчёту нагрузок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Необходимость дизель-генераторной установки и источников бесперебойного питания для безаварийного останова (дожим эвакуации газа при потере сети) — анализ сценариев обесточивания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Выбор пуска двигателя дымососа (прямой пуск, устройство плавного пуска или преобразователь частоты) — расчёт посадки напряжения по данным технических условий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Уровень напряжения привода воздуходувки дутья (0,4 или 6 кВ) — определяется выбором машины и влияет на состав распределительных устройств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Мощность трансформаторов комплектной трансформаторной подстанции — по утверждённой сводной таблице электроприёмников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ОВЭ75-БИ-Л1-ЭС · Электроснабжение и электрооборудование: однолинейные схемы, предварительный перечень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ОВЭ75-БИ-Л1-ЭС · Электроснабжение и электрооборудование: однолинейные схемы, предварительный перечень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