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№2 «Участок купороса»,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Проработанный вариант размещения участка — существующее здание гидрометаллургического участка: корпус 96 × 108 м, пролёты по буквенным осям 18 + 6 + 24 + 24 + 24 м, шаг колонн 6 м, мостовые краны грузоподъёмностью 5 и 7,5 т с верхом рельсов +10,000 и +10,500. Определяющее условие организации монтажа: грузоподъёмность существующих кранов ниже массы наибольшей неделимой части оборудования, поэтому способ подачи крупногабарита (укрупнительная сборка на площадке либо мобильный кран через монтажный проём) является самостоятельным решением стадии Базового инжиниринга. В базовом сценарии нового корпуса требования настоящего документа служат заданием на монтажную зону и грузоподъёмность кранового оборудования.</w:t>
      </w:r>
    </w:p>
    <w:p>
      <w:r>
        <w:rPr>
          <w:color w:val="666666"/>
          <w:sz w:val="17"/>
        </w:rPr>
        <w:t xml:space="preserve">Источник: ИД ч.2 (разд. 4.2.1 — материальное исполнение, рис. 4.4 и 4.5 — спецификации ниток выпарки); ТЗ на БИ ред. 4.1 (п. 1.3 — базис размещения, п. 4.4 — состав оборудования); приложение №7 к ТЗ — обмерные чертежи здания гидрометаллургического участка;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75.13330.2011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Технологическое оборудование и технологические трубопроводы — производство и приёмка монтажных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по подъёмным сооружениям (приказ Ростехнадзора от 26.11.2020 № 461)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Грузоподъёмные операции, работа мобильных кранов, проект производства работ с применением подъёмных сооружений на подъёмы у существующих конструкций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(приказ Ростехнадзора от 15.12.2020 № 536)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испытания оборудования под давлением (паровые полости подогревателей)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Монтажные стыки и опорные конструкции этажерок и стояков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Трубопроводы технологические стальные — испытания на прочность и плотность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6032-2017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Стали и сплавы коррозионностойкие — испытание на стойкость к межкристаллитной коррозии сварных соединений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34233.1-2017, ГОСТ 34233.2-2017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Сосуды и аппараты — расчёт на прочность и на наружное давление; пробные давления при испытаниях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Испаритель I ступени с выносным подогревателем — корпус в сборе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8–15 без содержимого (предварительная оценка при интегральной поставке)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высота 9–12 (оценочно); объём 34,5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 отметки около 0…+1 до +10…+12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При грузоподъёмности механизма ниже массы аппарата — укрупнительная сборка из транспортабельных частей с монтажной сваркой; иначе подача целиком мобильным краном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Испаритель II ступени с принудительной циркуляцией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8–15 без содержимого (унифицирован с аппаратом I ступени)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объём 34,5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II ступеней, низ конуса около +8…+9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этажерку после её монтажа и приёмки; подача — тем же способом, что и аппарат I ступени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Выносной подогреватель, поверхность 63 м²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У корпуса испарителя I ступени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Отдельная транспортная единица; подача и стыковка с корпусом на месте, монтажные швы по аттестованной технологии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Барометрический конденсатор нитки медного купороса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высота корпуса 2,0–2,5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Верх +11,0…+11,5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Подъём и установка на опоры у колонн вне зоны прохода кранов; до закрытия зоны кровли либо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Барометрическая труба (стояк) с гидрозатвором, Ду 350–400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10,5; Ду 350–400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Стояк у колонн; гидрозатвор в приямке глубиной 2,0–2,5 м, уровень воды −1,5…−2,0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секциями с монтажными стыками; обязательная выверка вертикальности по всей длине; приямок выполняется до подачи стояка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Солевая колонна испарителя II ступени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Столб пульпы 7,0–7,9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 испарителем II ступени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секциями с монтажными стыками; выверка вертикальности обязательна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Испарители I и II ступеней нитки смешанного купороса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изготовителя; ниже аппаратов нитки медного купороса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1,3; объём 8,9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I ступень — на постаменте; II ступень — этажерка +8…+9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Подъём в пределах грузоподъёмности существующих кранов подтверждается после получения масс изготовителя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Бак маточника 2, 16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Объём 16,0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в поддоне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плиту пола в поддоне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Репульпаторы растворения купороса, 2 × 8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Объём 8,0 м³ каждый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два последовательных аппарата в поддоне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привод мешалки — отдельной транспортной единицей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Пульсирующие фильтрующие центрифуги (4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индивидуальные виброизолированные фундаменты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набора прочности фундаментов; выверка и подливка по инструкции изготовителя, протокол вибрации при обкатке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 и 4.5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Пароэжекторный блок с вакуум-насосом (по одному на нитку)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рама у конденсаторного узла нитки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виброизолированную раму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 и 4.5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Массы аппаратов в исполнении из стали 904L приведены ориентировочно для интегральной поставки и уточняются по опросным листам изготовителей: корпуса, выносной подогреватель 63 м² и конденсаторы поставляются разными комплектами.</w:t>
      </w:r>
    </w:p>
    <w:p>
      <w:r>
        <w:rPr>
          <w:sz w:val="20"/>
        </w:rPr>
        <w:t xml:space="preserve">2. Наибольшая эксплуатационная масса участка — заполненный испаритель нитки медного купороса: около 45 т содержимого при объёме 34,5 м³ и плотности пульпы 1,3 т/м³. Эта масса не является монтажной: заполнение выполняется только после установки аппарата на штатные опоры, монтажная оснастка на неё не рассчитывается.</w:t>
      </w:r>
    </w:p>
    <w:p>
      <w:r>
        <w:rPr>
          <w:sz w:val="20"/>
        </w:rPr>
        <w:t xml:space="preserve">3. Полный налив испарителя водой при гидравлическом испытании даёт 34,5 т, что ниже расчётного рабочего заполнения пульпой около 45 т: испытательный случай перекрыт рабочим расчётом фундаментов и отдельного усиления конструкций не требует.</w:t>
      </w:r>
    </w:p>
    <w:p>
      <w:r>
        <w:rPr>
          <w:sz w:val="20"/>
        </w:rPr>
        <w:t xml:space="preserve">4. Наружный диаметр аппаратов 2,0 м вписывается в габарит автомобильной перевозки без специального разрешения (ширина до 2,55 м). Длина транспортных секций согласуется с изготовителем при размещении заказа.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Диаметр аппаратов 2,0 м вписывается в габарит автомобильной перевозки без специального разрешения; ограничивающим параметром является длина транспортной секции, которая согласуется с изготовителем. Барометрические трубы длиной около 10,5 м и солевые колонны со столбом пульпы 7,0–7,9 м поставляются секциями с монтажными стыками.</w:t>
      </w:r>
    </w:p>
    <w:p>
      <w:r>
        <w:rPr>
          <w:sz w:val="20"/>
        </w:rPr>
        <w:t xml:space="preserve">Если по результатам обследования габариты существующих проёмов и ворот не позволяют завести аппарат целиком, применяется поставка транспортабельными частями массой не более грузоподъёмности существующих кранов (5 и 7,5 т) с последующей укрупнительной сборкой и монтажной сваркой на площадке. Требование к делению на транспортабельные части и расположению монтажных стыков включается в опросные листы до запроса технических предложений.</w:t>
      </w:r>
    </w:p>
    <w:p>
      <w:r>
        <w:rPr>
          <w:sz w:val="20"/>
        </w:rPr>
        <w:t xml:space="preserve">Оборудование в исполнении из стали 904L транспортируется и хранится с исключением контакта с углеродистой сталью: раздельные подкладки и стропы, защита кромок и патрубков, консервация внутренних полостей. Приёмка на площадке включает проверку сохранности консервации и маркировки материала.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В резервном сценарии размещения в существующем здании пути подачи ограничены существующими воротами и монтажными проёмами. Их фактические габариты, отметки и несущая способность перекрытий на маршруте подачи определяются обмерным обследованием, которое включается в первый этап Базового инжиниринга. До получения результатов обследования способ заводки крупногабарита остаётся открытой позицией.</w:t>
      </w:r>
    </w:p>
    <w:p>
      <w:r>
        <w:rPr>
          <w:sz w:val="20"/>
        </w:rPr>
        <w:t xml:space="preserve">Рассматриваются три пути подачи: через существующие ворота на нулевой отметке с перемещением по полу пролёта; через монтажный проём в покрытии мобильным краном; поэлементная подача транспортабельных частей с укрупнительной сборкой в зоне монтажа. Выбор фиксируется после обследования и получения масс изготовителей.</w:t>
      </w:r>
    </w:p>
    <w:p>
      <w:r>
        <w:rPr>
          <w:sz w:val="20"/>
        </w:rPr>
        <w:t xml:space="preserve">В базовом сценарии нового корпуса монтажная зона закладывается в компоновку: свободный пролёт от ворот до места установки аппаратов, отсутствие постоянных конструкций над трассой подачи и грузоподъёмность кранового оборудования не ниже массы наибольшей неделимой части.</w:t>
      </w:r>
    </w:p>
    <w:p>
      <w:r>
        <w:rPr>
          <w:sz w:val="20"/>
        </w:rPr>
        <w:t xml:space="preserve">Приямки гидрозатворов глубиной 2,0–2,5 м и виброизолированные фундаменты центрифуг выполняются до подачи крупногабарита в пролёт: после установки аппаратов доступ к зонам земляных и бетонных работ закрывается.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Обмерное обследование существующих конструкций, проёмов и ворот, поверочные расчёты перекрытий и ростверков (резервный сценарий); готовность корпуса (базовый сценарий)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первый этап Базового инжиниринга; завершение — заключение о допустимости нагрузок и о способе заводки крупногабарита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обследования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приямков гидрозатворов глубиной 2,0–2,5 м с кислотостойкой отделкой, виброизолированных фундаментов центрифуг, поддонов и трапов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заключения обследования; завершение — набор прочности бетона и приёмка гидроизоляции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этажерки испарителей II ступеней с отметкой низа конуса около +8…+9 и опорных конструкций стояков барометрических труб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Выполняется до установки аппаратов; завершение — геодезическая исполнительная схема отметок опорных узлов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Мобильный кран или 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Подача и установка крупногабарита: испарители I и II ступеней, выносной подогреватель, барометрические конденсаторы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опорных конструкций; способ подачи — по решению, принятому на этапе 1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Мобильный кран через монтажный проём либо цеховые краны при поблочной подаче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Укрупнительная сборка и монтажная сварка корпусов из транспортабельных частей (при поблочной поставке)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Выполняется по аттестованным технологиям сварки; завершение — неразрушающий контроль монтажных швов в объёме опросного листа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Сварочное оборудование, оснастка для сборки под сварку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стояков барометрических труб и солевых колонн секциями с монтажными стыками; выверка вертикальности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исполнительная схема вертикальности и отметок уровня воды гидрозатворов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краны, монтажные мачты и лебёдки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технологических трубопроводов, арматуры и вакуумного контура; монтаж паровых линий и эжекторов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испытания на прочность и плотность, испытание вакуумного контура по скорости падения вакуума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Травление и пассивация зон монтажной сварки, удаление свободного железа, финальная промывка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завершения сварочных и абразивных работ в зоне; завершение — контроль остаточного свободного железа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химической обработки поверхностей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оборудования автоматизированной системы управления участком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автономная наладка и поканальная проверка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испытания, испытания на плотность и прочность; передача оборудования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приямки гидрозатворов и этажерка испарителей II ступеней должны быть выполнены до подачи аппаратов в пролёт, а способ подачи должен быть выбран до размещения заказа на оборудование — от него зависит требование к делению корпусов на транспортабельные части, включаемое в опросные листы.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Существующие мостовые краны здания гидрометаллургического участка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лёгкого и среднего оборудования, обслуживание в эксплуатации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5 и 7,5 т при верхе рельсов +10,000 и +10,500 — ниже массы наибольшей неделимой части аппарата (8–15 т); для монтажа крупногабарита недостаточны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Прил. №7 к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Мобильный 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Подача и установка испарителей, подогревателя и конденсаторов целиком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не ниже 15 т (верхняя граница оценки массы аппарата) с учётом массы траверсы; работа через монтажный проём либо до закрытия зоны кровли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Крановое оборудование нового корпуса (базовый сценарий)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и эксплуатационное обслуживание аппаратов участка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ниже массы наибольшей неделимой части — предварительно 15 т; окончательно по опросным листам изготовителей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БИ; ТЗ п. 1.3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Монтажные мачты, лебёдки и полиспасты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и вертикальная выверка стояков барометрических труб и солевых колонн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Назначаются по массе плети и высоте подъёма; схема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Текстильные стропы и защитные прокладки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Строповка оборудования из стали 904L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Контакт с углеродистой сталью исключается: применяются текстильные стропы либо стропы с защитными прокладками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разд. 4.2.1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Монтажная сварка стали 904L</w:t>
      </w:r>
    </w:p>
    <w:p>
      <w:r>
        <w:rPr>
          <w:sz w:val="20"/>
        </w:rPr>
        <w:t xml:space="preserve">Основное оборудование участка выполняется из стали 904L или согласованного аналога: исходные данные прямо исключают применение стали типа 316L для оборудования, контактирующего с горячими кислыми концентрированными сульфатными растворами. Монтажная сварка выполняется по аттестованным технологиям аттестованным персоналом; присадочные материалы — с содержанием молибдена и меди не ниже основного металла.</w:t>
      </w:r>
    </w:p>
    <w:p>
      <w:r>
        <w:rPr>
          <w:sz w:val="20"/>
        </w:rPr>
        <w:t xml:space="preserve">Объём неразрушающего контроля монтажных швов, требования к карте швов, подтверждению химического состава и стойкости к межкристаллитной коррозии по ГОСТ 6032 задаются опросными листами и техническими условиями поставки. Замена материала поставщиком без согласования является основанием для отклонения технического предложения.</w:t>
      </w:r>
    </w:p>
    <w:p>
      <w:pPr>
        <w:pStyle w:val="Heading2"/>
      </w:pPr>
      <w:r>
        <w:rPr>
          <w:b/>
          <w:sz w:val="24"/>
        </w:rPr>
        <w:t xml:space="preserve">7.2 Чистота монтажа и исключение загрязнения свободным железом</w:t>
      </w:r>
    </w:p>
    <w:p>
      <w:r>
        <w:rPr>
          <w:sz w:val="20"/>
        </w:rPr>
        <w:t xml:space="preserve">При монтаже оборудования и трубопроводов из стали 904L исключается контакт с углеродистой сталью: применяется раздельный инструмент и абразивы, предназначенные только для коррозионностойких сталей; строповка выполняется текстильными стропами либо стропами с защитными прокладками; подкладки при складировании — неметаллические или из коррозионностойкой стали.</w:t>
      </w:r>
    </w:p>
    <w:p>
      <w:r>
        <w:rPr>
          <w:sz w:val="20"/>
        </w:rPr>
        <w:t xml:space="preserve">Обоснование жёсткости требования: свободное железо и продукты коррозии переходят в продукт и нарушают норматив содержания железа в медном купоросе 0,04 % и предельную концентрацию железа в электролите 3 г/л, что напрямую влияет на качество катодной меди марки М00к.</w:t>
      </w:r>
    </w:p>
    <w:p>
      <w:pPr>
        <w:pStyle w:val="Heading2"/>
      </w:pPr>
      <w:r>
        <w:rPr>
          <w:b/>
          <w:sz w:val="24"/>
        </w:rPr>
        <w:t xml:space="preserve">7.3 Травление и пассивация зон монтажной сварки</w:t>
      </w:r>
    </w:p>
    <w:p>
      <w:r>
        <w:rPr>
          <w:sz w:val="20"/>
        </w:rPr>
        <w:t xml:space="preserve">После завершения монтажной сварки и абразивных работ выполняется удаление окалины и цветов побежалости, травление и пассивация зон сварки по методике изготовителя оборудования, с последующим контролем остаточного свободного железа и финальной водной промывкой до нейтральной реакции. Требования к качеству воды промывки определяются на стадии Базового инжиниринга.</w:t>
      </w:r>
    </w:p>
    <w:p>
      <w:r>
        <w:rPr>
          <w:sz w:val="20"/>
        </w:rPr>
        <w:t xml:space="preserve">Работы по травлению и пассивации планируются как отдельный этап монтажа: их выполнение после закрытия аппаратов теплоизоляцией и обвязкой технически затруднено, а пропуск этапа приводит к загрязнению продукта в первые же циклы работы.</w:t>
      </w:r>
    </w:p>
    <w:p>
      <w:pPr>
        <w:pStyle w:val="Heading2"/>
      </w:pPr>
      <w:r>
        <w:rPr>
          <w:b/>
          <w:sz w:val="24"/>
        </w:rPr>
        <w:t xml:space="preserve">7.4 Выверка вертикальности стояков и солевых колонн</w:t>
      </w:r>
    </w:p>
    <w:p>
      <w:r>
        <w:rPr>
          <w:sz w:val="20"/>
        </w:rPr>
        <w:t xml:space="preserve">Стояки барометрических труб длиной около 10,5 м и солевые колонны со столбом пульпы 7,0–7,9 м монтируются секциями с монтажными стыками. Выверка вертикальности обязательна по всей длине: отклонение нарушает работу барометрического затвора и гидростатический режим солевой колонны.</w:t>
      </w:r>
    </w:p>
    <w:p>
      <w:r>
        <w:rPr>
          <w:sz w:val="20"/>
        </w:rPr>
        <w:t xml:space="preserve">Уровень воды в гидрозатворе принят на отметке минус 1,5…минус 2,0 при глубине приямка 2,0–2,5 м; потребная вертикаль от уровня воды до верха конденсатора 12,5–13,0 м. Фактические отметки низа несущих конструкций покрытия подтверждаются обмерным обследованием до монтажа стояков.</w:t>
      </w:r>
    </w:p>
    <w:p>
      <w:pPr>
        <w:pStyle w:val="Heading2"/>
      </w:pPr>
      <w:r>
        <w:rPr>
          <w:b/>
          <w:sz w:val="24"/>
        </w:rPr>
        <w:t xml:space="preserve">7.5 Гидравлические испытания и учёт испытательных нагрузок</w:t>
      </w:r>
    </w:p>
    <w:p>
      <w:r>
        <w:rPr>
          <w:sz w:val="20"/>
        </w:rPr>
        <w:t xml:space="preserve">Паровые полости подогревателей испытываются пробным давлением не ниже 1,25 рабочего с температурной поправкой; вакуумные корпуса испарителей и конденсаторов рассчитываются на наружное давление и испытываются наливом с контролем плотности. Трубопроводы испытываются на прочность и плотность, вакуумный контур в сборе — по скорости падения вакуума.</w:t>
      </w:r>
    </w:p>
    <w:p>
      <w:r>
        <w:rPr>
          <w:sz w:val="20"/>
        </w:rPr>
        <w:t xml:space="preserve">Испытательные нагрузки на строительные конструкции не превышают рабочих: полный налив испарителя водой даёт 34,5 т против рабочего заполнения пульпой около 45 т. Дополнительное усиление конструкций на период испытаний не требуется.</w:t>
      </w:r>
    </w:p>
    <w:p>
      <w:pPr>
        <w:pStyle w:val="Heading2"/>
      </w:pPr>
      <w:r>
        <w:rPr>
          <w:b/>
          <w:sz w:val="24"/>
        </w:rPr>
        <w:t xml:space="preserve">7.6 Монтаж на существующих конструкциях</w:t>
      </w:r>
    </w:p>
    <w:p>
      <w:r>
        <w:rPr>
          <w:sz w:val="20"/>
        </w:rPr>
        <w:t xml:space="preserve">Установка оборудования на существующие перекрытия с отметками +5,000 и +6,000 и передача нагрузок этажерки на существующие ростверки допускаются только после поверочного расчёта по результатам обследования. Монтажные нагрузки от оснастки, временного складирования и проезда техники по существующим конструкциям включаются в тот же поверочный расчёт.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(опросные листы)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заводки крупногабарита в здание гидрометаллургического участка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тип монтажного механизма для подачи аппаратов — после получения масс изготовителей и результатов обмерного обследования проёмов.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Расположение монтажных стыков при поблочной поставке корпусов и объём неразрушающего контроля монтажных швов — по опросным листам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Требования к качеству воды промывки после травления и пассивации.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l2 mt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